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6"/>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126"/>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126"/>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12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126"/>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126"/>
        <w:ind w:left="2518" w:hanging="18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r>
      <w:r/>
    </w:p>
    <w:p>
      <w:pPr>
        <w:pStyle w:val="1126"/>
        <w:ind w:left="2518" w:hanging="18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r>
      <w:r/>
    </w:p>
    <w:p>
      <w:pPr>
        <w:pStyle w:val="1126"/>
        <w:ind w:left="0" w:firstLine="838"/>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眼科手术显微镜采购项目</w:t>
      </w:r>
      <w:r>
        <w:rPr>
          <w:rFonts w:hint="eastAsia" w:ascii="宋体" w:hAnsi="宋体"/>
          <w:bCs/>
          <w:color w:val="000000"/>
          <w:sz w:val="36"/>
          <w:szCs w:val="36"/>
          <w:highlight w:val="none"/>
        </w:rPr>
      </w:r>
      <w:r/>
    </w:p>
    <w:p>
      <w:pPr>
        <w:pStyle w:val="1126"/>
        <w:ind w:left="0" w:firstLine="838"/>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w:t>
      </w:r>
      <w:bookmarkStart w:id="0" w:name="_Hlk140156589"/>
      <w:r>
        <w:rPr>
          <w:rFonts w:hint="eastAsia" w:ascii="宋体" w:hAnsi="宋体"/>
          <w:bCs/>
          <w:color w:val="000000"/>
          <w:sz w:val="36"/>
          <w:szCs w:val="36"/>
          <w:highlight w:val="none"/>
          <w:lang w:eastAsia="zh-CN"/>
        </w:rPr>
        <w:t xml:space="preserve">JSZC-320400-YTZB-G2025-0117</w:t>
      </w:r>
      <w:r>
        <w:rPr>
          <w:rFonts w:hint="eastAsia" w:ascii="宋体" w:hAnsi="宋体" w:eastAsia="宋体"/>
          <w:bCs/>
          <w:color w:val="000000"/>
          <w:sz w:val="36"/>
          <w:szCs w:val="36"/>
          <w:highlight w:val="none"/>
          <w:lang w:eastAsia="zh-CN"/>
        </w:rPr>
      </w:r>
      <w:r/>
    </w:p>
    <w:p>
      <w:pPr>
        <w:pStyle w:val="1126"/>
        <w:ind w:left="0" w:firstLine="838"/>
        <w:jc w:val="left"/>
        <w:spacing w:line="360" w:lineRule="auto"/>
        <w:tabs>
          <w:tab w:val="left" w:pos="3240" w:leader="none"/>
          <w:tab w:val="left" w:pos="3420" w:leader="none"/>
        </w:tabs>
        <w:rPr>
          <w:rFonts w:hint="eastAsia" w:ascii="宋体" w:hAnsi="宋体"/>
          <w:bCs/>
          <w:color w:val="000000"/>
          <w:sz w:val="36"/>
          <w:szCs w:val="36"/>
          <w:highlight w:val="none"/>
        </w:rPr>
      </w:pPr>
      <w:r/>
      <w:bookmarkEnd w:id="0"/>
      <w:r>
        <w:rPr>
          <w:rFonts w:ascii="宋体" w:hAnsi="宋体"/>
          <w:bCs/>
          <w:color w:val="000000"/>
          <w:sz w:val="36"/>
          <w:szCs w:val="36"/>
          <w:highlight w:val="none"/>
        </w:rPr>
        <w:t xml:space="preserve">采 购 人：</w:t>
      </w:r>
      <w:bookmarkStart w:id="1" w:name="_Hlk140156643"/>
      <w:r>
        <w:rPr>
          <w:rFonts w:hint="eastAsia" w:ascii="宋体" w:hAnsi="宋体"/>
          <w:bCs/>
          <w:color w:val="000000"/>
          <w:sz w:val="36"/>
          <w:szCs w:val="36"/>
          <w:highlight w:val="none"/>
        </w:rPr>
        <w:t xml:space="preserve">常州市第一人民医院 </w:t>
      </w:r>
      <w:r>
        <w:rPr>
          <w:rFonts w:hint="eastAsia" w:ascii="宋体" w:hAnsi="宋体"/>
          <w:bCs/>
          <w:color w:val="000000"/>
          <w:sz w:val="36"/>
          <w:szCs w:val="36"/>
          <w:highlight w:val="none"/>
        </w:rPr>
      </w:r>
      <w:r/>
    </w:p>
    <w:p>
      <w:pPr>
        <w:pStyle w:val="1126"/>
        <w:ind w:left="0" w:firstLine="838"/>
        <w:jc w:val="left"/>
        <w:spacing w:line="360" w:lineRule="auto"/>
        <w:tabs>
          <w:tab w:val="left" w:pos="3240" w:leader="none"/>
          <w:tab w:val="left" w:pos="3420" w:leader="none"/>
        </w:tabs>
        <w:rPr>
          <w:rFonts w:ascii="宋体" w:hAnsi="宋体"/>
          <w:bCs/>
          <w:color w:val="000000"/>
          <w:sz w:val="36"/>
          <w:szCs w:val="36"/>
          <w:highlight w:val="none"/>
        </w:rPr>
      </w:pPr>
      <w:r/>
      <w:bookmarkEnd w:id="1"/>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1126"/>
        <w:ind w:left="0" w:firstLine="1684"/>
        <w:jc w:val="left"/>
        <w:widowControl/>
        <w:rPr>
          <w:rFonts w:hint="eastAsia" w:ascii="宋体" w:hAnsi="宋体"/>
          <w:b/>
          <w:color w:val="000000"/>
          <w:sz w:val="72"/>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hint="eastAsia" w:ascii="宋体" w:hAnsi="宋体"/>
          <w:b/>
          <w:color w:val="000000"/>
          <w:sz w:val="72"/>
          <w:highlight w:val="none"/>
        </w:rPr>
        <w:br w:type="page" w:clear="all"/>
      </w:r>
      <w:r/>
    </w:p>
    <w:p>
      <w:pPr>
        <w:pStyle w:val="1126"/>
        <w:jc w:val="center"/>
        <w:spacing w:line="360" w:lineRule="auto"/>
        <w:rPr>
          <w:rFonts w:ascii="宋体" w:hAnsi="宋体"/>
          <w:b/>
          <w:color w:val="000000"/>
          <w:sz w:val="36"/>
          <w:szCs w:val="36"/>
          <w:highlight w:val="none"/>
        </w:rPr>
        <w:outlineLvl w:val="0"/>
      </w:pPr>
      <w:r/>
      <w:bookmarkStart w:id="2" w:name="_Toc99301418"/>
      <w:r/>
      <w:bookmarkStart w:id="3" w:name="_Toc6210"/>
      <w:r/>
      <w:bookmarkStart w:id="4" w:name="_Toc146275788"/>
      <w:r/>
      <w:bookmarkStart w:id="5" w:name="_Toc140168422"/>
      <w:r>
        <w:rPr>
          <w:rFonts w:ascii="宋体" w:hAnsi="宋体"/>
          <w:b/>
          <w:color w:val="000000"/>
          <w:sz w:val="36"/>
          <w:szCs w:val="36"/>
          <w:highlight w:val="none"/>
        </w:rPr>
      </w:r>
      <w:r/>
    </w:p>
    <w:p>
      <w:pPr>
        <w:pStyle w:val="1126"/>
        <w:jc w:val="center"/>
        <w:spacing w:line="360" w:lineRule="auto"/>
        <w:rPr>
          <w:rFonts w:ascii="宋体" w:hAnsi="宋体"/>
          <w:b/>
          <w:color w:val="000000"/>
          <w:sz w:val="36"/>
          <w:szCs w:val="36"/>
          <w:highlight w:val="none"/>
        </w:rPr>
        <w:outlineLvl w:val="0"/>
      </w:pPr>
      <w:r/>
      <w:bookmarkStart w:id="6" w:name="_Toc23437"/>
      <w:r>
        <w:rPr>
          <w:rFonts w:ascii="宋体" w:hAnsi="宋体"/>
          <w:b/>
          <w:color w:val="000000"/>
          <w:sz w:val="36"/>
          <w:szCs w:val="36"/>
          <w:highlight w:val="none"/>
        </w:rPr>
        <w:t xml:space="preserve">目      录</w:t>
      </w:r>
      <w:bookmarkEnd w:id="2"/>
      <w:r/>
      <w:bookmarkEnd w:id="3"/>
      <w:r/>
      <w:bookmarkEnd w:id="4"/>
      <w:r/>
      <w:bookmarkEnd w:id="5"/>
      <w:r/>
      <w:bookmarkEnd w:id="6"/>
      <w:r>
        <w:rPr>
          <w:rFonts w:ascii="宋体" w:hAnsi="宋体"/>
          <w:b/>
          <w:color w:val="000000"/>
          <w:sz w:val="36"/>
          <w:szCs w:val="36"/>
          <w:highlight w:val="none"/>
        </w:rPr>
      </w:r>
      <w:r/>
    </w:p>
    <w:p>
      <w:pPr>
        <w:pStyle w:val="1126"/>
        <w:rPr>
          <w:rFonts w:ascii="宋体" w:hAnsi="宋体"/>
          <w:color w:val="000000"/>
          <w:sz w:val="24"/>
          <w:highlight w:val="none"/>
        </w:rPr>
      </w:pPr>
      <w:r>
        <w:rPr>
          <w:rFonts w:ascii="宋体" w:hAnsi="宋体"/>
          <w:color w:val="000000"/>
          <w:sz w:val="24"/>
          <w:highlight w:val="none"/>
        </w:rPr>
      </w:r>
      <w:r/>
    </w:p>
    <w:p>
      <w:pPr>
        <w:pStyle w:val="1126"/>
        <w:rPr>
          <w:rFonts w:ascii="宋体" w:hAnsi="宋体"/>
          <w:color w:val="000000"/>
          <w:sz w:val="24"/>
          <w:highlight w:val="none"/>
        </w:rPr>
      </w:pPr>
      <w:r>
        <w:rPr>
          <w:rFonts w:ascii="宋体" w:hAnsi="宋体"/>
          <w:color w:val="000000"/>
          <w:sz w:val="24"/>
          <w:highlight w:val="none"/>
        </w:rPr>
      </w:r>
      <w:r/>
    </w:p>
    <w:p>
      <w:pPr>
        <w:pStyle w:val="1126"/>
        <w:rPr>
          <w:rFonts w:ascii="宋体" w:hAnsi="宋体"/>
          <w:color w:val="000000"/>
          <w:sz w:val="24"/>
          <w:highlight w:val="none"/>
        </w:rPr>
      </w:pPr>
      <w:r>
        <w:rPr>
          <w:rFonts w:ascii="宋体" w:hAnsi="宋体"/>
          <w:color w:val="000000"/>
          <w:sz w:val="24"/>
          <w:highlight w:val="none"/>
        </w:rPr>
      </w:r>
      <w:r/>
    </w:p>
    <w:p>
      <w:pPr>
        <w:pStyle w:val="1179"/>
        <w:tabs>
          <w:tab w:val="right" w:pos="9272" w:leader="dot"/>
        </w:tabs>
        <w:rPr>
          <w:color w:val="000000"/>
          <w:sz w:val="28"/>
          <w:szCs w:val="28"/>
          <w:highlight w:val="none"/>
        </w:rPr>
      </w:pPr>
      <w:r>
        <w:rPr>
          <w:b w:val="0"/>
          <w:color w:val="000000"/>
          <w:sz w:val="28"/>
          <w:szCs w:val="28"/>
          <w:highlight w:val="none"/>
        </w:rPr>
        <w:fldChar w:fldCharType="begin"/>
      </w:r>
      <w:r>
        <w:rPr>
          <w:b w:val="0"/>
          <w:color w:val="000000"/>
          <w:sz w:val="28"/>
          <w:szCs w:val="28"/>
          <w:highlight w:val="none"/>
        </w:rPr>
        <w:instrText xml:space="preserve"> TOC \o "1-1" \h \z \u </w:instrText>
      </w:r>
      <w:r>
        <w:rPr>
          <w:b w:val="0"/>
          <w:color w:val="000000"/>
          <w:sz w:val="28"/>
          <w:szCs w:val="28"/>
          <w:highlight w:val="none"/>
        </w:rPr>
        <w:fldChar w:fldCharType="separate"/>
      </w:r>
      <w:r>
        <w:rPr>
          <w:color w:val="000000"/>
          <w:sz w:val="28"/>
          <w:szCs w:val="28"/>
          <w:highlight w:val="none"/>
        </w:rPr>
        <w:fldChar w:fldCharType="begin"/>
      </w:r>
      <w:r>
        <w:rPr>
          <w:color w:val="000000"/>
          <w:sz w:val="28"/>
          <w:szCs w:val="28"/>
          <w:highlight w:val="none"/>
        </w:rPr>
        <w:instrText xml:space="preserve"> HYPERLINK \l _Toc6120 </w:instrText>
      </w:r>
      <w:r>
        <w:rPr>
          <w:color w:val="000000"/>
          <w:sz w:val="28"/>
          <w:szCs w:val="28"/>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_Toc6120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179"/>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_Toc5253 </w:instrText>
      </w:r>
      <w:r>
        <w:rPr>
          <w:color w:val="000000"/>
          <w:sz w:val="28"/>
          <w:szCs w:val="28"/>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_Toc5253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179"/>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_Toc83 </w:instrText>
      </w:r>
      <w:r>
        <w:rPr>
          <w:color w:val="000000"/>
          <w:sz w:val="28"/>
          <w:szCs w:val="28"/>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_Toc83 \h </w:instrText>
      </w:r>
      <w:r>
        <w:rPr>
          <w:color w:val="000000"/>
          <w:sz w:val="28"/>
          <w:szCs w:val="28"/>
          <w:highlight w:val="none"/>
        </w:rPr>
        <w:fldChar w:fldCharType="separate"/>
      </w:r>
      <w:r>
        <w:rPr>
          <w:color w:val="000000"/>
          <w:sz w:val="28"/>
          <w:szCs w:val="28"/>
          <w:highlight w:val="none"/>
        </w:rPr>
        <w:t xml:space="preserve">20</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179"/>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_Toc29670 </w:instrText>
      </w:r>
      <w:r>
        <w:rPr>
          <w:color w:val="000000"/>
          <w:sz w:val="28"/>
          <w:szCs w:val="28"/>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_Toc29670 \h </w:instrText>
      </w:r>
      <w:r>
        <w:rPr>
          <w:color w:val="000000"/>
          <w:sz w:val="28"/>
          <w:szCs w:val="28"/>
          <w:highlight w:val="none"/>
        </w:rPr>
        <w:fldChar w:fldCharType="separate"/>
      </w:r>
      <w:r>
        <w:rPr>
          <w:color w:val="000000"/>
          <w:sz w:val="28"/>
          <w:szCs w:val="28"/>
          <w:highlight w:val="none"/>
        </w:rPr>
        <w:t xml:space="preserve">22</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179"/>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_Toc8294 </w:instrText>
      </w:r>
      <w:r>
        <w:rPr>
          <w:color w:val="000000"/>
          <w:sz w:val="28"/>
          <w:szCs w:val="28"/>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_Toc8294 \h </w:instrText>
      </w:r>
      <w:r>
        <w:rPr>
          <w:color w:val="000000"/>
          <w:sz w:val="28"/>
          <w:szCs w:val="28"/>
          <w:highlight w:val="none"/>
        </w:rPr>
        <w:fldChar w:fldCharType="separate"/>
      </w:r>
      <w:r>
        <w:rPr>
          <w:color w:val="000000"/>
          <w:sz w:val="28"/>
          <w:szCs w:val="28"/>
          <w:highlight w:val="none"/>
        </w:rPr>
        <w:t xml:space="preserve">32</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179"/>
        <w:tabs>
          <w:tab w:val="right" w:pos="9272" w:leader="dot"/>
        </w:tabs>
        <w:rPr>
          <w:color w:val="000000"/>
          <w:sz w:val="28"/>
          <w:szCs w:val="28"/>
          <w:highlight w:val="none"/>
        </w:rPr>
      </w:pPr>
      <w:r>
        <w:rPr>
          <w:color w:val="000000"/>
          <w:sz w:val="28"/>
          <w:szCs w:val="28"/>
          <w:highlight w:val="none"/>
        </w:rPr>
        <w:t xml:space="preserve">第六章   拟签订的合同文本</w:t>
      </w:r>
      <w:r>
        <w:rPr>
          <w:color w:val="000000"/>
          <w:sz w:val="28"/>
          <w:szCs w:val="28"/>
          <w:highlight w:val="none"/>
        </w:rPr>
        <w:tab/>
      </w:r>
      <w:r>
        <w:rPr>
          <w:rFonts w:hint="eastAsia"/>
          <w:color w:val="000000"/>
          <w:sz w:val="28"/>
          <w:szCs w:val="28"/>
          <w:highlight w:val="none"/>
        </w:rPr>
        <w:t xml:space="preserve">35</w:t>
      </w:r>
      <w:r>
        <w:rPr>
          <w:color w:val="000000"/>
          <w:sz w:val="28"/>
          <w:szCs w:val="28"/>
          <w:highlight w:val="none"/>
        </w:rPr>
      </w:r>
      <w:r/>
    </w:p>
    <w:p>
      <w:pPr>
        <w:pStyle w:val="1179"/>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_Toc16559 </w:instrText>
      </w:r>
      <w:r>
        <w:rPr>
          <w:color w:val="000000"/>
          <w:sz w:val="28"/>
          <w:szCs w:val="28"/>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_Toc16559 \h </w:instrText>
      </w:r>
      <w:r>
        <w:rPr>
          <w:color w:val="000000"/>
          <w:sz w:val="28"/>
          <w:szCs w:val="28"/>
          <w:highlight w:val="none"/>
        </w:rPr>
        <w:fldChar w:fldCharType="separate"/>
      </w:r>
      <w:r>
        <w:rPr>
          <w:color w:val="000000"/>
          <w:sz w:val="28"/>
          <w:szCs w:val="28"/>
          <w:highlight w:val="none"/>
        </w:rPr>
        <w:t xml:space="preserve">43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179"/>
        <w:spacing w:line="360" w:lineRule="auto"/>
        <w:tabs>
          <w:tab w:val="left" w:pos="1050" w:leader="none"/>
          <w:tab w:val="right" w:pos="8937" w:leader="dot"/>
        </w:tabs>
        <w:rPr>
          <w:b w:val="0"/>
          <w:color w:val="000000"/>
          <w:highlight w:val="none"/>
        </w:rPr>
      </w:pPr>
      <w:r>
        <w:rPr>
          <w:color w:val="000000"/>
          <w:sz w:val="28"/>
          <w:szCs w:val="28"/>
          <w:highlight w:val="none"/>
        </w:rPr>
        <w:fldChar w:fldCharType="end"/>
      </w:r>
      <w:r>
        <w:rPr>
          <w:b w:val="0"/>
          <w:color w:val="000000"/>
          <w:highlight w:val="none"/>
        </w:rPr>
      </w:r>
      <w:r/>
    </w:p>
    <w:p>
      <w:pPr>
        <w:pStyle w:val="1126"/>
        <w:jc w:val="center"/>
        <w:spacing w:line="360" w:lineRule="auto"/>
        <w:rPr>
          <w:rFonts w:ascii="宋体" w:hAnsi="宋体"/>
          <w:color w:val="000000"/>
          <w:sz w:val="24"/>
          <w:highlight w:val="none"/>
        </w:rPr>
        <w:outlineLvl w:val="0"/>
      </w:pPr>
      <w:r>
        <w:rPr>
          <w:rFonts w:ascii="宋体" w:hAnsi="宋体"/>
          <w:color w:val="000000"/>
          <w:sz w:val="24"/>
          <w:highlight w:val="none"/>
        </w:rPr>
      </w:r>
      <w:r/>
    </w:p>
    <w:p>
      <w:pPr>
        <w:pStyle w:val="1126"/>
        <w:jc w:val="center"/>
        <w:spacing w:line="360" w:lineRule="auto"/>
        <w:rPr>
          <w:rFonts w:ascii="宋体" w:hAnsi="宋体"/>
          <w:b/>
          <w:color w:val="000000"/>
          <w:sz w:val="36"/>
          <w:szCs w:val="36"/>
          <w:highlight w:val="none"/>
        </w:rPr>
        <w:sectPr>
          <w:headerReference w:type="first" r:id="rId12"/>
          <w:footerReference w:type="default" r:id="rId20"/>
          <w:footnotePr/>
          <w:endnotePr/>
          <w:type w:val="nextColumn"/>
          <w:pgSz w:w="11907" w:h="16840" w:orient="portrait"/>
          <w:pgMar w:top="1418" w:right="1134" w:bottom="1418" w:left="1501" w:header="794" w:footer="851" w:gutter="0"/>
          <w:cols w:num="1" w:sep="0" w:space="1701" w:equalWidth="1"/>
          <w:docGrid w:linePitch="360"/>
          <w:titlePg/>
        </w:sectPr>
        <w:outlineLvl w:val="0"/>
      </w:pPr>
      <w:r>
        <w:rPr>
          <w:rFonts w:ascii="宋体" w:hAnsi="宋体"/>
          <w:b/>
          <w:color w:val="000000"/>
          <w:sz w:val="36"/>
          <w:szCs w:val="36"/>
          <w:highlight w:val="none"/>
        </w:rPr>
        <w:br w:type="page" w:clear="all"/>
      </w:r>
      <w:r/>
    </w:p>
    <w:p>
      <w:pPr>
        <w:pStyle w:val="1126"/>
        <w:jc w:val="center"/>
        <w:spacing w:line="360" w:lineRule="auto"/>
        <w:rPr>
          <w:rFonts w:ascii="宋体" w:hAnsi="宋体"/>
          <w:b/>
          <w:color w:val="000000"/>
          <w:sz w:val="36"/>
          <w:szCs w:val="36"/>
          <w:highlight w:val="none"/>
        </w:rPr>
        <w:outlineLvl w:val="0"/>
      </w:pPr>
      <w:r/>
      <w:bookmarkStart w:id="7" w:name="_Toc6120"/>
      <w:r>
        <w:rPr>
          <w:rFonts w:ascii="宋体" w:hAnsi="宋体"/>
          <w:b/>
          <w:color w:val="000000"/>
          <w:sz w:val="36"/>
          <w:szCs w:val="36"/>
          <w:highlight w:val="none"/>
        </w:rPr>
        <w:t xml:space="preserve">第一章   投标邀请</w:t>
      </w:r>
      <w:bookmarkEnd w:id="7"/>
      <w:r>
        <w:rPr>
          <w:rFonts w:ascii="宋体" w:hAnsi="宋体"/>
          <w:b/>
          <w:color w:val="000000"/>
          <w:sz w:val="36"/>
          <w:szCs w:val="36"/>
          <w:highlight w:val="none"/>
        </w:rPr>
      </w:r>
      <w:r/>
    </w:p>
    <w:p>
      <w:pPr>
        <w:pStyle w:val="1126"/>
        <w:ind w:firstLine="480"/>
        <w:spacing w:line="360" w:lineRule="auto"/>
        <w:rPr>
          <w:rFonts w:ascii="宋体" w:hAnsi="宋体"/>
          <w:color w:val="000000"/>
          <w:sz w:val="24"/>
          <w:highlight w:val="none"/>
        </w:rPr>
      </w:pPr>
      <w:r/>
      <w:bookmarkStart w:id="8" w:name="_Toc28359002"/>
      <w:r/>
      <w:bookmarkStart w:id="9" w:name="_Toc35393621"/>
      <w:r/>
      <w:bookmarkStart w:id="10" w:name="_Toc28359079"/>
      <w:r/>
      <w:bookmarkStart w:id="11" w:name="_Toc35393790"/>
      <w:r/>
      <w:bookmarkStart w:id="12" w:name="_Hlk24379207"/>
      <w:r>
        <w:rPr>
          <w:rFonts w:ascii="宋体" w:hAnsi="宋体"/>
          <w:color w:val="000000"/>
          <w:sz w:val="24"/>
          <w:highlight w:val="none"/>
        </w:rPr>
      </w:r>
      <w:r/>
    </w:p>
    <w:p>
      <w:pPr>
        <w:pStyle w:val="1128"/>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8"/>
      <w:r/>
      <w:bookmarkEnd w:id="9"/>
      <w:r/>
      <w:bookmarkEnd w:id="10"/>
      <w:r/>
      <w:bookmarkEnd w:id="11"/>
      <w:r>
        <w:rPr>
          <w:rFonts w:ascii="宋体" w:hAnsi="宋体" w:eastAsia="宋体"/>
          <w:color w:val="000000"/>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宋体" w:hAnsi="宋体"/>
          <w:color w:val="000000"/>
          <w:sz w:val="24"/>
          <w:highlight w:val="none"/>
        </w:rPr>
        <w:t xml:space="preserve">1.项目编号：</w:t>
      </w:r>
      <w:r>
        <w:rPr>
          <w:rFonts w:hint="eastAsia" w:ascii="宋体" w:hAnsi="宋体"/>
          <w:color w:val="000000"/>
          <w:sz w:val="24"/>
          <w:highlight w:val="none"/>
        </w:rPr>
      </w:r>
      <w:r>
        <w:rPr>
          <w:rFonts w:ascii="SimSun" w:hAnsi="SimSun" w:eastAsia="SimSun" w:cs="SimSun"/>
          <w:color w:val="000000"/>
          <w:sz w:val="24"/>
        </w:rPr>
        <w:t xml:space="preserve">JSZC-320400-YTZB-G2025-0117</w:t>
      </w:r>
      <w:r/>
      <w:r>
        <w:rPr>
          <w:rFonts w:ascii="宋体" w:hAnsi="宋体"/>
          <w:color w:val="000000"/>
          <w:sz w:val="24"/>
          <w:highlight w:val="none"/>
        </w:rPr>
      </w:r>
      <w:r/>
      <w:r/>
      <w:r>
        <w:rPr>
          <w:sz w:val="21"/>
        </w:rPr>
      </w:r>
    </w:p>
    <w:p>
      <w:pPr>
        <w:pStyle w:val="1126"/>
        <w:ind w:left="1919" w:hanging="1440"/>
        <w:spacing w:line="360" w:lineRule="auto"/>
        <w:rPr>
          <w:rFonts w:hint="eastAsia" w:ascii="宋体" w:hAnsi="宋体"/>
          <w:color w:val="000000"/>
          <w:sz w:val="24"/>
          <w:highlight w:val="none"/>
        </w:rPr>
      </w:pPr>
      <w:r>
        <w:rPr>
          <w:rFonts w:ascii="宋体" w:hAnsi="宋体"/>
          <w:color w:val="000000"/>
          <w:sz w:val="24"/>
          <w:highlight w:val="none"/>
        </w:rPr>
        <w:t xml:space="preserve">2.项目名称：</w:t>
      </w:r>
      <w:bookmarkEnd w:id="12"/>
      <w:r>
        <w:rPr>
          <w:rFonts w:hint="eastAsia" w:ascii="宋体" w:hAnsi="宋体"/>
          <w:color w:val="000000"/>
          <w:sz w:val="24"/>
          <w:highlight w:val="none"/>
        </w:rPr>
        <w:t xml:space="preserve">眼科手术显微镜采购项目</w:t>
      </w:r>
      <w:r>
        <w:rPr>
          <w:rFonts w:hint="eastAsia" w:ascii="宋体" w:hAnsi="宋体"/>
          <w:color w:val="000000"/>
          <w:sz w:val="24"/>
          <w:highlight w:val="none"/>
        </w:rPr>
      </w:r>
      <w:r/>
    </w:p>
    <w:p>
      <w:pPr>
        <w:pStyle w:val="1126"/>
        <w:ind w:firstLine="480"/>
        <w:spacing w:line="360" w:lineRule="auto"/>
        <w:rPr>
          <w:color w:val="000000"/>
          <w:sz w:val="24"/>
          <w:highlight w:val="none"/>
        </w:rPr>
      </w:pPr>
      <w:r>
        <w:rPr>
          <w:rFonts w:ascii="宋体" w:hAnsi="宋体"/>
          <w:color w:val="000000"/>
          <w:sz w:val="24"/>
          <w:highlight w:val="none"/>
        </w:rPr>
        <w:t xml:space="preserve">3.</w:t>
      </w:r>
      <w:r>
        <w:rPr>
          <w:color w:val="000000"/>
          <w:sz w:val="24"/>
          <w:highlight w:val="none"/>
        </w:rPr>
        <w:t xml:space="preserve">项目预算金额：</w:t>
      </w:r>
      <w:r>
        <w:rPr>
          <w:rFonts w:hint="eastAsia"/>
          <w:color w:val="000000"/>
          <w:sz w:val="24"/>
          <w:highlight w:val="none"/>
        </w:rPr>
        <w:t xml:space="preserve">人民币180万元  </w:t>
      </w:r>
      <w:r>
        <w:rPr>
          <w:color w:val="000000"/>
          <w:sz w:val="24"/>
          <w:highlight w:val="none"/>
        </w:rPr>
      </w:r>
      <w:r/>
    </w:p>
    <w:p>
      <w:pPr>
        <w:pStyle w:val="1126"/>
        <w:ind w:firstLine="72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项目最高限价（控制价）：</w:t>
      </w:r>
      <w:r>
        <w:rPr>
          <w:rFonts w:hint="eastAsia"/>
          <w:color w:val="000000"/>
          <w:sz w:val="24"/>
          <w:highlight w:val="none"/>
        </w:rPr>
        <w:t xml:space="preserve">人民币180万元</w:t>
      </w:r>
      <w:r>
        <w:rPr>
          <w:rFonts w:hint="eastAsia" w:ascii="宋体" w:hAnsi="宋体"/>
          <w:color w:val="000000"/>
          <w:sz w:val="24"/>
          <w:highlight w:val="none"/>
        </w:rPr>
      </w:r>
      <w:r/>
    </w:p>
    <w:p>
      <w:pPr>
        <w:pStyle w:val="1126"/>
        <w:ind w:firstLine="480"/>
        <w:jc w:val="left"/>
        <w:spacing w:line="360" w:lineRule="auto"/>
        <w:rPr>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采购需求：</w:t>
      </w:r>
      <w:r>
        <w:rPr>
          <w:color w:val="000000"/>
          <w:sz w:val="24"/>
          <w:highlight w:val="none"/>
        </w:rPr>
        <w:t xml:space="preserve">本项目为</w:t>
      </w:r>
      <w:r>
        <w:rPr>
          <w:rFonts w:hint="eastAsia" w:ascii="宋体" w:hAnsi="宋体"/>
          <w:color w:val="000000"/>
          <w:sz w:val="24"/>
          <w:highlight w:val="none"/>
        </w:rPr>
        <w:t xml:space="preserve">常州市第一人民医院眼科手术显微镜采购项目</w:t>
      </w:r>
      <w:r>
        <w:rPr>
          <w:rFonts w:hint="eastAsia"/>
          <w:color w:val="000000"/>
          <w:sz w:val="24"/>
          <w:highlight w:val="none"/>
        </w:rPr>
        <w:t xml:space="preserve">，</w:t>
      </w:r>
      <w:r>
        <w:rPr>
          <w:rFonts w:hint="eastAsia" w:ascii="宋体" w:hAnsi="宋体" w:cs="宋体"/>
          <w:bCs/>
          <w:color w:val="000000"/>
          <w:sz w:val="24"/>
          <w:highlight w:val="none"/>
        </w:rPr>
        <w:t xml:space="preserve">内容包括但不限于</w:t>
      </w:r>
      <w:r>
        <w:rPr>
          <w:rFonts w:hint="eastAsia" w:ascii="宋体" w:hAnsi="宋体"/>
          <w:color w:val="000000"/>
          <w:sz w:val="24"/>
          <w:highlight w:val="none"/>
        </w:rPr>
        <w:t xml:space="preserve">设备的制造（采购）、运输、装卸、安装、调试、测试、售后服务、技术培训等，直至通过相关部门的验收以及质量保修、免费维保等全部工作</w:t>
      </w:r>
      <w:r>
        <w:rPr>
          <w:rFonts w:hint="eastAsia" w:ascii="宋体" w:hAnsi="宋体" w:cs="宋体"/>
          <w:bCs/>
          <w:color w:val="000000"/>
          <w:sz w:val="24"/>
          <w:highlight w:val="none"/>
        </w:rPr>
        <w:t xml:space="preserve">。具体内容详见公开招标文件。</w:t>
      </w:r>
      <w:r>
        <w:rPr>
          <w:color w:val="000000"/>
          <w:sz w:val="24"/>
          <w:highlight w:val="none"/>
        </w:rPr>
      </w:r>
      <w:r/>
    </w:p>
    <w:p>
      <w:pPr>
        <w:pStyle w:val="11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rPr>
        <w:t xml:space="preserve">合同签订生效后60个工作日内完成合同范围内所有设备的供货、安装调试。</w:t>
      </w:r>
      <w:r>
        <w:rPr>
          <w:rFonts w:hint="eastAsia" w:ascii="宋体" w:hAnsi="宋体"/>
          <w:color w:val="000000"/>
          <w:sz w:val="24"/>
          <w:highlight w:val="none"/>
        </w:rPr>
      </w:r>
      <w:r/>
    </w:p>
    <w:p>
      <w:pPr>
        <w:pStyle w:val="1126"/>
        <w:ind w:left="420"/>
        <w:spacing w:line="360" w:lineRule="auto"/>
        <w:rPr>
          <w:rFonts w:ascii="宋体" w:hAnsi="宋体"/>
          <w:color w:val="000000"/>
          <w:sz w:val="24"/>
          <w:highlight w:val="none"/>
        </w:rPr>
      </w:pPr>
      <w:r>
        <w:rPr>
          <w:rFonts w:ascii="宋体" w:hAnsi="宋体"/>
          <w:color w:val="000000"/>
          <w:sz w:val="24"/>
          <w:highlight w:val="none"/>
        </w:rPr>
        <w:t xml:space="preserve">6.本项目是否接受联合体投标：</w:t>
      </w:r>
      <w:r>
        <w:rPr>
          <w:rFonts w:hint="eastAsia" w:ascii="宋体" w:hAnsi="宋体"/>
          <w:color w:val="000000"/>
          <w:sz w:val="24"/>
          <w:highlight w:val="none"/>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1126"/>
        <w:ind w:left="42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本项目是否接受</w:t>
      </w:r>
      <w:r>
        <w:rPr>
          <w:rFonts w:hint="eastAsia" w:ascii="宋体" w:hAnsi="宋体"/>
          <w:color w:val="000000"/>
          <w:sz w:val="24"/>
          <w:highlight w:val="none"/>
        </w:rPr>
        <w:t xml:space="preserve">进口产品</w:t>
      </w:r>
      <w:r>
        <w:rPr>
          <w:rFonts w:ascii="宋体" w:hAnsi="宋体"/>
          <w:color w:val="000000"/>
          <w:sz w:val="24"/>
          <w:highlight w:val="none"/>
        </w:rPr>
        <w:t xml:space="preserve">投标：</w:t>
      </w:r>
      <w:r>
        <w:rPr>
          <w:rFonts w:hint="eastAsia" w:ascii="宋体" w:hAnsi="宋体"/>
          <w:color w:val="000000"/>
          <w:sz w:val="24"/>
          <w:highlight w:val="none"/>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1128"/>
        <w:jc w:val="left"/>
        <w:spacing w:before="0" w:line="360" w:lineRule="auto"/>
        <w:rPr>
          <w:rFonts w:ascii="宋体" w:hAnsi="宋体" w:eastAsia="宋体"/>
          <w:color w:val="000000"/>
          <w:sz w:val="24"/>
          <w:szCs w:val="24"/>
          <w:highlight w:val="none"/>
        </w:rPr>
      </w:pPr>
      <w:r/>
      <w:bookmarkStart w:id="13" w:name="_Toc28359003"/>
      <w:r/>
      <w:bookmarkStart w:id="14" w:name="_Toc35393791"/>
      <w:r/>
      <w:bookmarkStart w:id="15" w:name="_Toc28359080"/>
      <w:r/>
      <w:bookmarkStart w:id="16" w:name="_Toc35393622"/>
      <w:r>
        <w:rPr>
          <w:rFonts w:ascii="宋体" w:hAnsi="宋体" w:eastAsia="宋体"/>
          <w:color w:val="000000"/>
          <w:sz w:val="24"/>
          <w:szCs w:val="24"/>
          <w:highlight w:val="none"/>
        </w:rPr>
        <w:t xml:space="preserve">二、申请人的资格要求（须同时满足）</w:t>
      </w:r>
      <w:bookmarkEnd w:id="13"/>
      <w:r/>
      <w:bookmarkEnd w:id="14"/>
      <w:r/>
      <w:bookmarkEnd w:id="15"/>
      <w:r/>
      <w:bookmarkEnd w:id="16"/>
      <w:r>
        <w:rPr>
          <w:rFonts w:ascii="宋体" w:hAnsi="宋体" w:eastAsia="宋体"/>
          <w:color w:val="000000"/>
          <w:sz w:val="24"/>
          <w:szCs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t xml:space="preserve">以及下列情形：</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bookmarkStart w:id="17" w:name="_Toc28359081"/>
      <w:r/>
      <w:bookmarkStart w:id="18" w:name="_Toc28359004"/>
      <w:r>
        <w:rPr>
          <w:rFonts w:ascii="宋体" w:hAnsi="宋体"/>
          <w:color w:val="000000"/>
          <w:sz w:val="24"/>
          <w:highlight w:val="none"/>
        </w:rPr>
        <w:t xml:space="preserve">2.落实政府采购政策需满足的资格要求：</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2.1 中小企业政策</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本项目不专门面向中小企业预留采购份额。</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highlight w:val="none"/>
        </w:rPr>
        <w:t xml:space="preserve">无。</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2.2 其它落实政府采购政策的资格要求（如有）：</w:t>
      </w:r>
      <w:r>
        <w:rPr>
          <w:rFonts w:hint="eastAsia" w:ascii="宋体" w:hAnsi="宋体"/>
          <w:color w:val="000000"/>
          <w:sz w:val="24"/>
          <w:highlight w:val="none"/>
        </w:rPr>
        <w:t xml:space="preserve">无。</w:t>
      </w:r>
      <w:r>
        <w:rPr>
          <w:rFonts w:ascii="宋体" w:hAnsi="宋体"/>
          <w:color w:val="000000"/>
          <w:sz w:val="24"/>
          <w:highlight w:val="none"/>
        </w:rPr>
      </w:r>
      <w:r/>
    </w:p>
    <w:p>
      <w:pPr>
        <w:pStyle w:val="1126"/>
        <w:ind w:firstLine="480"/>
        <w:spacing w:line="360" w:lineRule="auto"/>
        <w:rPr>
          <w:rFonts w:ascii="宋体" w:hAnsi="宋体"/>
          <w:i/>
          <w:iCs/>
          <w:color w:val="000000"/>
          <w:sz w:val="24"/>
          <w:highlight w:val="none"/>
          <w:u w:val="single"/>
        </w:rPr>
      </w:pPr>
      <w:r>
        <w:rPr>
          <w:rFonts w:ascii="宋体" w:hAnsi="宋体"/>
          <w:color w:val="000000"/>
          <w:sz w:val="24"/>
          <w:highlight w:val="none"/>
        </w:rPr>
        <w:t xml:space="preserve">3.本项目的特定资格要求：</w:t>
      </w:r>
      <w:r>
        <w:rPr>
          <w:rFonts w:ascii="宋体" w:hAnsi="宋体"/>
          <w:i/>
          <w:iCs/>
          <w:color w:val="000000"/>
          <w:sz w:val="24"/>
          <w:highlight w:val="none"/>
          <w:u w:val="single"/>
        </w:rPr>
      </w:r>
      <w:r/>
    </w:p>
    <w:p>
      <w:pPr>
        <w:pStyle w:val="1126"/>
        <w:ind w:firstLine="480"/>
        <w:spacing w:line="360" w:lineRule="auto"/>
        <w:tabs>
          <w:tab w:val="left" w:pos="900" w:leader="none"/>
          <w:tab w:val="left" w:pos="1134" w:leader="none"/>
          <w:tab w:val="left" w:pos="1589" w:leader="none"/>
          <w:tab w:val="left" w:pos="5521" w:leader="none"/>
        </w:tabs>
        <w:rPr>
          <w:rFonts w:ascii="宋体" w:hAnsi="宋体"/>
          <w:i/>
          <w:color w:val="000000"/>
          <w:sz w:val="24"/>
          <w:highlight w:val="none"/>
        </w:rPr>
      </w:pPr>
      <w:r>
        <w:rPr>
          <w:rFonts w:ascii="宋体" w:hAnsi="宋体"/>
          <w:color w:val="000000"/>
          <w:sz w:val="24"/>
          <w:highlight w:val="none"/>
        </w:rPr>
        <w:t xml:space="preserve">3.1本项目是否接受分支机构参与投标：</w:t>
      </w:r>
      <w:r>
        <w:rPr>
          <w:rFonts w:hint="eastAsia" w:ascii="宋体" w:hAnsi="宋体"/>
          <w:color w:val="000000"/>
          <w:sz w:val="24"/>
          <w:highlight w:val="none"/>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i/>
          <w:color w:val="000000"/>
          <w:sz w:val="24"/>
          <w:highlight w:val="none"/>
        </w:rPr>
      </w:r>
      <w:r/>
    </w:p>
    <w:p>
      <w:pPr>
        <w:pStyle w:val="1126"/>
        <w:ind w:firstLine="480"/>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ascii="宋体" w:hAnsi="宋体"/>
          <w:color w:val="000000"/>
          <w:sz w:val="24"/>
          <w:highlight w:val="none"/>
        </w:rPr>
        <w:t xml:space="preserve">3.2本项目是否属于政府购买服务：</w:t>
      </w:r>
      <w:r>
        <w:rPr>
          <w:rFonts w:ascii="宋体" w:hAnsi="宋体"/>
          <w:color w:val="000000"/>
          <w:sz w:val="24"/>
          <w:highlight w:val="none"/>
        </w:rPr>
      </w:r>
      <w:r/>
    </w:p>
    <w:p>
      <w:pPr>
        <w:pStyle w:val="1126"/>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1126"/>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是，公益一类事业单位、使用事业编制且由财政拨款保障的群团组织，不得作为承接主体；</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3.3其他特定资格要求：</w:t>
      </w:r>
      <w:bookmarkEnd w:id="17"/>
      <w:r/>
      <w:bookmarkEnd w:id="18"/>
      <w:r/>
      <w:bookmarkStart w:id="19" w:name="_Toc35393623"/>
      <w:r/>
      <w:bookmarkStart w:id="20" w:name="_Toc35393792"/>
      <w:r>
        <w:rPr>
          <w:rFonts w:ascii="宋体" w:hAnsi="宋体"/>
          <w:color w:val="000000"/>
          <w:sz w:val="24"/>
          <w:highlight w:val="none"/>
        </w:rPr>
      </w:r>
      <w:r/>
    </w:p>
    <w:p>
      <w:pPr>
        <w:pStyle w:val="1126"/>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3.3</w:t>
      </w:r>
      <w:r>
        <w:rPr>
          <w:rFonts w:hint="eastAsia" w:ascii="宋体" w:hAnsi="宋体"/>
          <w:color w:val="000000"/>
          <w:sz w:val="24"/>
          <w:highlight w:val="none"/>
        </w:rPr>
        <w:t xml:space="preserve">.1满足以下两项中任意一项要求：</w:t>
      </w:r>
      <w:r>
        <w:rPr>
          <w:rFonts w:hint="eastAsia" w:ascii="宋体" w:hAnsi="宋体"/>
          <w:color w:val="000000"/>
          <w:sz w:val="24"/>
          <w:highlight w:val="none"/>
        </w:rPr>
      </w:r>
      <w:r/>
    </w:p>
    <w:p>
      <w:pPr>
        <w:pStyle w:val="11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（1）投标人为所投产品制造商：具有有效期内的医疗器械生产许可证（或备案证）；</w:t>
      </w:r>
      <w:r>
        <w:rPr>
          <w:rFonts w:hint="eastAsia" w:ascii="宋体" w:hAnsi="宋体"/>
          <w:color w:val="000000"/>
          <w:sz w:val="24"/>
          <w:highlight w:val="none"/>
        </w:rPr>
      </w:r>
      <w:r/>
    </w:p>
    <w:p>
      <w:pPr>
        <w:pStyle w:val="11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（2）投标人为所投产品经销商：具有有效期内的医疗器械经营许可证（或备案证）；</w:t>
      </w:r>
      <w:r>
        <w:rPr>
          <w:rFonts w:hint="eastAsia" w:ascii="宋体" w:hAnsi="宋体"/>
          <w:color w:val="000000"/>
          <w:sz w:val="24"/>
          <w:highlight w:val="none"/>
        </w:rPr>
      </w:r>
      <w:r/>
    </w:p>
    <w:p>
      <w:pPr>
        <w:pStyle w:val="1126"/>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3.3</w:t>
      </w:r>
      <w:r>
        <w:rPr>
          <w:rFonts w:hint="eastAsia" w:ascii="宋体" w:hAnsi="宋体"/>
          <w:color w:val="000000"/>
          <w:sz w:val="24"/>
          <w:highlight w:val="none"/>
        </w:rPr>
        <w:t xml:space="preserve">.2 投标人提供所投产品的有效医疗器械注册证（或备案证）。</w:t>
      </w:r>
      <w:r>
        <w:rPr>
          <w:rFonts w:hint="eastAsia" w:ascii="宋体" w:hAnsi="宋体"/>
          <w:color w:val="000000"/>
          <w:sz w:val="24"/>
          <w:highlight w:val="none"/>
        </w:rPr>
      </w:r>
      <w:r/>
    </w:p>
    <w:p>
      <w:pPr>
        <w:pStyle w:val="11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3.3.3本项目接受进口产品，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color w:val="000000"/>
          <w:sz w:val="24"/>
          <w:highlight w:val="none"/>
        </w:rPr>
      </w:r>
      <w:r/>
    </w:p>
    <w:p>
      <w:pPr>
        <w:pStyle w:val="1128"/>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三、获取招标文件</w:t>
      </w:r>
      <w:bookmarkEnd w:id="19"/>
      <w:r/>
      <w:bookmarkEnd w:id="20"/>
      <w:r>
        <w:rPr>
          <w:rFonts w:ascii="宋体" w:hAnsi="宋体" w:eastAsia="宋体"/>
          <w:color w:val="000000"/>
          <w:sz w:val="24"/>
          <w:szCs w:val="24"/>
          <w:highlight w:val="none"/>
        </w:rPr>
      </w:r>
      <w:r/>
    </w:p>
    <w:p>
      <w:pPr>
        <w:pStyle w:val="1126"/>
        <w:ind w:firstLine="480"/>
        <w:spacing w:line="360" w:lineRule="auto"/>
        <w:rPr>
          <w:rFonts w:hint="eastAsia"/>
          <w:color w:val="000000"/>
          <w:sz w:val="24"/>
          <w:highlight w:val="none"/>
          <w:lang w:bidi="ar"/>
        </w:rPr>
      </w:pPr>
      <w:r/>
      <w:bookmarkStart w:id="21" w:name="_Toc28359082"/>
      <w:r/>
      <w:bookmarkStart w:id="22" w:name="_Toc28359005"/>
      <w:r/>
      <w:bookmarkStart w:id="23" w:name="_Toc35393793"/>
      <w:r/>
      <w:bookmarkStart w:id="24" w:name="_Toc35393624"/>
      <w:r>
        <w:rPr>
          <w:rFonts w:ascii="宋体" w:hAnsi="宋体"/>
          <w:color w:val="000000"/>
          <w:sz w:val="24"/>
          <w:highlight w:val="none"/>
          <w:lang w:bidi="ar"/>
        </w:rPr>
        <w:t xml:space="preserve">1.时间：</w:t>
      </w:r>
      <w:r>
        <w:rPr>
          <w:rFonts w:hint="eastAsia" w:ascii="宋体" w:hAnsi="宋体"/>
          <w:color w:val="000000"/>
          <w:sz w:val="24"/>
          <w:highlight w:val="none"/>
          <w:lang w:bidi="ar"/>
        </w:rPr>
        <w:t xml:space="preserve">自公告发布之日</w:t>
      </w:r>
      <w:r>
        <w:rPr>
          <w:rFonts w:hint="eastAsia"/>
          <w:color w:val="000000"/>
          <w:sz w:val="24"/>
          <w:highlight w:val="none"/>
          <w:lang w:bidi="ar"/>
        </w:rPr>
        <w:t xml:space="preserve">起至2025年</w:t>
      </w:r>
      <w:r>
        <w:rPr>
          <w:rFonts w:hint="eastAsia"/>
          <w:color w:val="000000"/>
          <w:sz w:val="24"/>
          <w:highlight w:val="none"/>
          <w:lang w:val="en-US" w:eastAsia="zh-CN" w:bidi="ar"/>
        </w:rPr>
        <w:t xml:space="preserve">12</w:t>
      </w:r>
      <w:r>
        <w:rPr>
          <w:rFonts w:hint="eastAsia"/>
          <w:color w:val="000000"/>
          <w:sz w:val="24"/>
          <w:highlight w:val="none"/>
          <w:lang w:bidi="ar"/>
        </w:rPr>
        <w:t xml:space="preserve">月</w:t>
      </w:r>
      <w:r>
        <w:rPr>
          <w:rFonts w:hint="eastAsia"/>
          <w:color w:val="000000"/>
          <w:sz w:val="24"/>
          <w:highlight w:val="none"/>
          <w:lang w:val="en-US" w:eastAsia="zh-CN" w:bidi="ar"/>
        </w:rPr>
        <w:t xml:space="preserve">3</w:t>
      </w:r>
      <w:r>
        <w:rPr>
          <w:rFonts w:hint="eastAsia"/>
          <w:color w:val="000000"/>
          <w:sz w:val="24"/>
          <w:highlight w:val="none"/>
          <w:lang w:bidi="ar"/>
        </w:rPr>
        <w:t xml:space="preserve">日23:59（北京时间，法定节假日除外）。</w:t>
      </w:r>
      <w:r>
        <w:rPr>
          <w:rFonts w:hint="eastAsia"/>
          <w:color w:val="000000"/>
          <w:sz w:val="24"/>
          <w:highlight w:val="none"/>
          <w:lang w:bidi="ar"/>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lang w:bidi="ar"/>
        </w:rPr>
        <w:t xml:space="preserve">2.地点：</w:t>
      </w:r>
      <w:r>
        <w:rPr>
          <w:rFonts w:hint="eastAsia"/>
          <w:color w:val="000000"/>
          <w:sz w:val="24"/>
          <w:highlight w:val="none"/>
          <w:lang w:bidi="ar"/>
        </w:rPr>
        <w:t xml:space="preserve">“苏采云”政府采购一体化平台</w:t>
      </w:r>
      <w:r>
        <w:rPr>
          <w:rFonts w:hint="eastAsia"/>
          <w:color w:val="000000"/>
          <w:sz w:val="24"/>
          <w:highlight w:val="none"/>
        </w:rPr>
        <w:t xml:space="preserve">。</w:t>
      </w:r>
      <w:r>
        <w:rPr>
          <w:rFonts w:ascii="宋体" w:hAnsi="宋体"/>
          <w:color w:val="000000"/>
          <w:sz w:val="24"/>
          <w:highlight w:val="none"/>
        </w:rPr>
      </w:r>
      <w:r/>
    </w:p>
    <w:p>
      <w:pPr>
        <w:pStyle w:val="1126"/>
        <w:ind w:firstLine="480"/>
        <w:spacing w:line="360" w:lineRule="auto"/>
        <w:rPr>
          <w:color w:val="000000"/>
          <w:sz w:val="24"/>
          <w:highlight w:val="none"/>
          <w:lang w:bidi="ar"/>
        </w:rPr>
      </w:pPr>
      <w:r>
        <w:rPr>
          <w:rFonts w:ascii="宋体" w:hAnsi="宋体"/>
          <w:color w:val="000000"/>
          <w:sz w:val="24"/>
          <w:highlight w:val="none"/>
          <w:lang w:bidi="ar"/>
        </w:rPr>
        <w:t xml:space="preserve">3.方式：</w:t>
      </w:r>
      <w:r>
        <w:rPr>
          <w:rFonts w:hint="eastAsia" w:ascii="宋体" w:hAnsi="宋体"/>
          <w:color w:val="000000"/>
          <w:sz w:val="24"/>
          <w:highlight w:val="none"/>
          <w:lang w:bidi="ar"/>
        </w:rPr>
        <w:t xml:space="preserve">投标人</w:t>
      </w:r>
      <w:r>
        <w:rPr>
          <w:rFonts w:hint="eastAsia"/>
          <w:color w:val="000000"/>
          <w:sz w:val="24"/>
          <w:highlight w:val="none"/>
          <w:lang w:bidi="ar"/>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highlight w:val="none"/>
          <w:lang w:bidi="ar"/>
        </w:rPr>
      </w:r>
      <w:r/>
    </w:p>
    <w:p>
      <w:pPr>
        <w:pStyle w:val="1126"/>
        <w:ind w:firstLine="480"/>
        <w:jc w:val="left"/>
        <w:spacing w:line="360" w:lineRule="auto"/>
        <w:widowControl/>
        <w:rPr>
          <w:rFonts w:ascii="宋体" w:hAnsi="宋体"/>
          <w:color w:val="000000"/>
          <w:sz w:val="24"/>
          <w:highlight w:val="none"/>
        </w:rPr>
      </w:pPr>
      <w:r>
        <w:rPr>
          <w:rFonts w:ascii="宋体" w:hAnsi="宋体"/>
          <w:color w:val="000000"/>
          <w:sz w:val="24"/>
          <w:highlight w:val="none"/>
          <w:lang w:bidi="ar"/>
        </w:rPr>
        <w:t xml:space="preserve">4.售价：</w:t>
      </w:r>
      <w:r>
        <w:rPr>
          <w:rFonts w:hint="eastAsia" w:ascii="宋体" w:hAnsi="宋体"/>
          <w:color w:val="000000"/>
          <w:sz w:val="24"/>
          <w:highlight w:val="none"/>
          <w:u w:val="single"/>
          <w:lang w:bidi="ar"/>
        </w:rPr>
        <w:t xml:space="preserve"> 0 </w:t>
      </w:r>
      <w:r>
        <w:rPr>
          <w:rFonts w:hint="eastAsia" w:ascii="宋体" w:hAnsi="宋体"/>
          <w:color w:val="000000"/>
          <w:sz w:val="24"/>
          <w:highlight w:val="none"/>
          <w:lang w:bidi="ar"/>
        </w:rPr>
        <w:t xml:space="preserve">元</w:t>
      </w:r>
      <w:r>
        <w:rPr>
          <w:rFonts w:ascii="宋体" w:hAnsi="宋体"/>
          <w:color w:val="000000"/>
          <w:sz w:val="24"/>
          <w:highlight w:val="none"/>
          <w:lang w:bidi="ar"/>
        </w:rPr>
        <w:t xml:space="preserve">。</w:t>
      </w:r>
      <w:r>
        <w:rPr>
          <w:rFonts w:ascii="宋体" w:hAnsi="宋体"/>
          <w:color w:val="000000"/>
          <w:sz w:val="24"/>
          <w:highlight w:val="none"/>
        </w:rPr>
      </w:r>
      <w:r/>
    </w:p>
    <w:p>
      <w:pPr>
        <w:pStyle w:val="1128"/>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四、提交投标文件</w:t>
      </w:r>
      <w:bookmarkEnd w:id="21"/>
      <w:r/>
      <w:bookmarkEnd w:id="22"/>
      <w:r>
        <w:rPr>
          <w:rFonts w:ascii="宋体" w:hAnsi="宋体" w:eastAsia="宋体"/>
          <w:color w:val="000000"/>
          <w:sz w:val="24"/>
          <w:szCs w:val="24"/>
          <w:highlight w:val="none"/>
        </w:rPr>
        <w:t xml:space="preserve">截止时间、开标时间和地点</w:t>
      </w:r>
      <w:bookmarkEnd w:id="23"/>
      <w:r/>
      <w:bookmarkEnd w:id="24"/>
      <w:r>
        <w:rPr>
          <w:rFonts w:ascii="宋体" w:hAnsi="宋体" w:eastAsia="宋体"/>
          <w:color w:val="000000"/>
          <w:sz w:val="24"/>
          <w:szCs w:val="24"/>
          <w:highlight w:val="none"/>
        </w:rPr>
      </w:r>
      <w:r/>
    </w:p>
    <w:p>
      <w:pPr>
        <w:pStyle w:val="1126"/>
        <w:ind w:firstLine="480"/>
        <w:spacing w:line="360" w:lineRule="auto"/>
        <w:rPr>
          <w:rFonts w:ascii="宋体" w:hAnsi="宋体"/>
          <w:bCs/>
          <w:color w:val="000000"/>
          <w:sz w:val="24"/>
          <w:highlight w:val="none"/>
          <w:u w:val="single"/>
        </w:rPr>
      </w:pPr>
      <w:r>
        <w:rPr>
          <w:rFonts w:ascii="宋体" w:hAnsi="宋体"/>
          <w:color w:val="000000"/>
          <w:sz w:val="24"/>
          <w:highlight w:val="none"/>
          <w:lang w:bidi="ar"/>
        </w:rPr>
        <w:t xml:space="preserve">投标截止时间、开标时间：</w:t>
      </w:r>
      <w:r>
        <w:rPr>
          <w:rFonts w:hint="eastAsia" w:ascii="宋体" w:hAnsi="宋体"/>
          <w:color w:val="000000"/>
          <w:sz w:val="24"/>
          <w:highlight w:val="none"/>
          <w:lang w:bidi="ar"/>
        </w:rPr>
        <w:t xml:space="preserve">2025年</w:t>
      </w:r>
      <w:r>
        <w:rPr>
          <w:rFonts w:hint="eastAsia" w:ascii="宋体" w:hAnsi="宋体"/>
          <w:color w:val="000000"/>
          <w:sz w:val="24"/>
          <w:highlight w:val="none"/>
          <w:lang w:val="en-US" w:eastAsia="zh-CN" w:bidi="ar"/>
        </w:rPr>
        <w:t xml:space="preserve">12</w:t>
      </w:r>
      <w:r>
        <w:rPr>
          <w:rFonts w:hint="eastAsia"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17</w:t>
      </w:r>
      <w:r>
        <w:rPr>
          <w:rFonts w:hint="eastAsia" w:ascii="宋体" w:hAnsi="宋体"/>
          <w:color w:val="000000"/>
          <w:sz w:val="24"/>
          <w:highlight w:val="none"/>
          <w:lang w:bidi="ar"/>
        </w:rPr>
        <w:t xml:space="preserve">日09点30分（北京时间）。</w:t>
      </w:r>
      <w:r>
        <w:rPr>
          <w:rFonts w:ascii="宋体" w:hAnsi="宋体"/>
          <w:bCs/>
          <w:color w:val="000000"/>
          <w:sz w:val="24"/>
          <w:highlight w:val="none"/>
          <w:u w:val="single"/>
        </w:rPr>
      </w:r>
      <w:r/>
    </w:p>
    <w:p>
      <w:pPr>
        <w:pStyle w:val="1126"/>
        <w:ind w:firstLine="480"/>
        <w:spacing w:line="360" w:lineRule="auto"/>
        <w:rPr>
          <w:rFonts w:hint="eastAsia" w:ascii="宋体" w:hAnsi="宋体" w:cs="宋体"/>
          <w:color w:val="000000"/>
          <w:sz w:val="24"/>
          <w:highlight w:val="none"/>
          <w:lang w:val="zh-TW" w:bidi="ar"/>
        </w:rPr>
      </w:pPr>
      <w:r>
        <w:rPr>
          <w:rFonts w:ascii="宋体" w:hAnsi="宋体"/>
          <w:color w:val="000000"/>
          <w:sz w:val="24"/>
          <w:highlight w:val="none"/>
          <w:lang w:bidi="ar"/>
        </w:rPr>
        <w:t xml:space="preserve">地点：</w:t>
      </w:r>
      <w:r>
        <w:rPr>
          <w:rFonts w:hint="eastAsia" w:ascii="宋体" w:hAnsi="宋体" w:cs="宋体"/>
          <w:color w:val="000000"/>
          <w:sz w:val="24"/>
          <w:highlight w:val="none"/>
        </w:rPr>
        <w:t xml:space="preserve">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lang w:val="zh-TW" w:bidi="ar"/>
        </w:rPr>
      </w:r>
      <w:r/>
    </w:p>
    <w:p>
      <w:pPr>
        <w:pStyle w:val="1128"/>
        <w:jc w:val="left"/>
        <w:spacing w:before="0" w:line="360" w:lineRule="auto"/>
        <w:rPr>
          <w:rFonts w:ascii="宋体" w:hAnsi="宋体" w:eastAsia="宋体"/>
          <w:color w:val="000000"/>
          <w:sz w:val="24"/>
          <w:szCs w:val="24"/>
          <w:highlight w:val="none"/>
        </w:rPr>
      </w:pPr>
      <w:r/>
      <w:bookmarkStart w:id="25" w:name="_Toc28359007"/>
      <w:r/>
      <w:bookmarkStart w:id="26" w:name="_Toc28359084"/>
      <w:r/>
      <w:bookmarkStart w:id="27" w:name="_Toc35393794"/>
      <w:r/>
      <w:bookmarkStart w:id="28" w:name="_Toc35393625"/>
      <w:r>
        <w:rPr>
          <w:rFonts w:ascii="宋体" w:hAnsi="宋体" w:eastAsia="宋体"/>
          <w:color w:val="000000"/>
          <w:sz w:val="24"/>
          <w:szCs w:val="24"/>
          <w:highlight w:val="none"/>
        </w:rPr>
        <w:t xml:space="preserve">五、公告期限</w:t>
      </w:r>
      <w:bookmarkEnd w:id="25"/>
      <w:r/>
      <w:bookmarkEnd w:id="26"/>
      <w:r/>
      <w:bookmarkEnd w:id="27"/>
      <w:r/>
      <w:bookmarkEnd w:id="28"/>
      <w:r>
        <w:rPr>
          <w:rFonts w:ascii="宋体" w:hAnsi="宋体" w:eastAsia="宋体"/>
          <w:color w:val="000000"/>
          <w:sz w:val="24"/>
          <w:szCs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自本公告发布之日起5个工作日。</w:t>
      </w:r>
      <w:r>
        <w:rPr>
          <w:rFonts w:ascii="宋体" w:hAnsi="宋体"/>
          <w:color w:val="000000"/>
          <w:sz w:val="24"/>
          <w:highlight w:val="none"/>
        </w:rPr>
      </w:r>
      <w:r/>
    </w:p>
    <w:p>
      <w:pPr>
        <w:pStyle w:val="1128"/>
        <w:jc w:val="left"/>
        <w:spacing w:before="0" w:line="360" w:lineRule="auto"/>
        <w:rPr>
          <w:rFonts w:ascii="宋体" w:hAnsi="宋体" w:eastAsia="宋体"/>
          <w:color w:val="000000"/>
          <w:sz w:val="24"/>
          <w:szCs w:val="24"/>
          <w:highlight w:val="none"/>
        </w:rPr>
      </w:pPr>
      <w:r/>
      <w:bookmarkStart w:id="29" w:name="_Toc35393795"/>
      <w:r/>
      <w:bookmarkStart w:id="30" w:name="_Toc35393626"/>
      <w:r>
        <w:rPr>
          <w:rFonts w:ascii="宋体" w:hAnsi="宋体" w:eastAsia="宋体"/>
          <w:color w:val="000000"/>
          <w:sz w:val="24"/>
          <w:szCs w:val="24"/>
          <w:highlight w:val="none"/>
        </w:rPr>
        <w:t xml:space="preserve">六、其他补充事宜</w:t>
      </w:r>
      <w:bookmarkEnd w:id="29"/>
      <w:r/>
      <w:bookmarkEnd w:id="30"/>
      <w:r>
        <w:rPr>
          <w:rFonts w:ascii="宋体" w:hAnsi="宋体" w:eastAsia="宋体"/>
          <w:color w:val="000000"/>
          <w:sz w:val="24"/>
          <w:szCs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1.本项目需要落实的政府采购政策：</w:t>
      </w:r>
      <w:r>
        <w:rPr>
          <w:rFonts w:hint="eastAsia" w:ascii="宋体" w:hAnsi="宋体"/>
          <w:color w:val="000000"/>
          <w:sz w:val="24"/>
          <w:highlight w:val="none"/>
          <w:lang w:bidi="ar"/>
        </w:rPr>
        <w:t xml:space="preserve">无</w:t>
      </w:r>
      <w:r>
        <w:rPr>
          <w:rFonts w:ascii="宋体" w:hAnsi="宋体"/>
          <w:color w:val="000000"/>
          <w:sz w:val="24"/>
          <w:highlight w:val="none"/>
          <w:lang w:bidi="ar"/>
        </w:rPr>
        <w:t xml:space="preserve">。</w:t>
      </w:r>
      <w:r>
        <w:rPr>
          <w:rFonts w:ascii="宋体" w:hAnsi="宋体"/>
          <w:color w:val="000000"/>
          <w:sz w:val="24"/>
          <w:highlight w:val="none"/>
        </w:rPr>
        <w:t xml:space="preserve"> </w:t>
      </w:r>
      <w:r>
        <w:rPr>
          <w:rFonts w:ascii="宋体" w:hAnsi="宋体"/>
          <w:color w:val="000000"/>
          <w:sz w:val="24"/>
          <w:highlight w:val="none"/>
        </w:rPr>
      </w:r>
      <w:r/>
    </w:p>
    <w:p>
      <w:pPr>
        <w:pStyle w:val="1126"/>
        <w:ind w:firstLine="480"/>
        <w:jc w:val="left"/>
        <w:spacing w:line="360" w:lineRule="auto"/>
        <w:widowControl/>
        <w:rPr>
          <w:rFonts w:ascii="宋体" w:hAnsi="宋体"/>
          <w:bCs/>
          <w:color w:val="000000"/>
          <w:sz w:val="24"/>
          <w:highlight w:val="none"/>
          <w:lang w:bidi="ar"/>
        </w:rPr>
      </w:pPr>
      <w:r>
        <w:rPr>
          <w:rFonts w:ascii="宋体" w:hAnsi="宋体"/>
          <w:color w:val="000000"/>
          <w:sz w:val="24"/>
          <w:highlight w:val="none"/>
          <w:lang w:bidi="ar"/>
        </w:rPr>
        <w:t xml:space="preserve">2.</w:t>
      </w:r>
      <w:r>
        <w:rPr>
          <w:color w:val="000000"/>
          <w:sz w:val="24"/>
          <w:highlight w:val="none"/>
          <w:lang w:bidi="ar"/>
        </w:rPr>
        <w:t xml:space="preserve">本项目采用全流程电子化采购方式</w:t>
      </w:r>
      <w:r>
        <w:rPr>
          <w:rFonts w:ascii="宋体" w:hAnsi="宋体"/>
          <w:color w:val="000000"/>
          <w:sz w:val="24"/>
          <w:highlight w:val="none"/>
          <w:lang w:bidi="ar"/>
        </w:rPr>
        <w:t xml:space="preserve">，请供应商认真学习</w:t>
      </w:r>
      <w:r>
        <w:rPr>
          <w:rFonts w:hint="eastAsia"/>
          <w:color w:val="000000"/>
          <w:sz w:val="24"/>
          <w:highlight w:val="none"/>
          <w:lang w:bidi="ar"/>
        </w:rPr>
        <w:t xml:space="preserve">“苏采云”政府采购一体化平台</w:t>
      </w:r>
      <w:r>
        <w:rPr>
          <w:rFonts w:ascii="宋体" w:hAnsi="宋体"/>
          <w:color w:val="000000"/>
          <w:sz w:val="24"/>
          <w:highlight w:val="none"/>
          <w:lang w:bidi="ar"/>
        </w:rPr>
        <w:t xml:space="preserve">发布的相关操作手册，办理CA认证证书、进行</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lang w:bidi="ar"/>
        </w:rPr>
        <w:t xml:space="preserve">注册绑定，并认真核实</w:t>
      </w:r>
      <w:r>
        <w:rPr>
          <w:rFonts w:ascii="宋体" w:hAnsi="宋体"/>
          <w:bCs/>
          <w:color w:val="000000"/>
          <w:sz w:val="24"/>
          <w:highlight w:val="none"/>
          <w:lang w:bidi="ar"/>
        </w:rPr>
        <w:t xml:space="preserve">数字认证证书情况确认是否符合本项目电子化采购流程要求。</w:t>
      </w:r>
      <w:r>
        <w:rPr>
          <w:rFonts w:ascii="宋体" w:hAnsi="宋体"/>
          <w:bCs/>
          <w:color w:val="000000"/>
          <w:sz w:val="24"/>
          <w:highlight w:val="none"/>
          <w:lang w:bidi="ar"/>
        </w:rPr>
      </w:r>
      <w:r/>
    </w:p>
    <w:p>
      <w:pPr>
        <w:pStyle w:val="1126"/>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  0519-85588163</w:t>
      </w:r>
      <w:r>
        <w:rPr>
          <w:color w:val="000000"/>
          <w:sz w:val="24"/>
          <w:highlight w:val="none"/>
        </w:rPr>
      </w:r>
      <w:r/>
    </w:p>
    <w:p>
      <w:pPr>
        <w:pStyle w:val="1126"/>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w:t>
      </w:r>
      <w:r>
        <w:rPr>
          <w:rFonts w:hint="eastAsia"/>
          <w:color w:val="000000"/>
          <w:sz w:val="24"/>
          <w:highlight w:val="none"/>
          <w:lang w:bidi="ar"/>
        </w:rPr>
        <w:t xml:space="preserve">-</w:t>
      </w:r>
      <w:r>
        <w:rPr>
          <w:color w:val="000000"/>
          <w:sz w:val="24"/>
          <w:highlight w:val="none"/>
          <w:lang w:bidi="ar"/>
        </w:rPr>
        <w:t xml:space="preserve">85588120</w:t>
      </w:r>
      <w:r>
        <w:rPr>
          <w:color w:val="000000"/>
          <w:sz w:val="24"/>
          <w:highlight w:val="none"/>
          <w:lang w:bidi="ar"/>
        </w:rPr>
      </w:r>
      <w:r/>
    </w:p>
    <w:p>
      <w:pPr>
        <w:pStyle w:val="1126"/>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2.1办理CA认证证书</w:t>
      </w:r>
      <w:r>
        <w:rPr>
          <w:rFonts w:ascii="宋体" w:hAnsi="宋体"/>
          <w:color w:val="000000"/>
          <w:sz w:val="24"/>
          <w:highlight w:val="none"/>
          <w:lang w:bidi="ar"/>
        </w:rPr>
      </w:r>
      <w:r/>
    </w:p>
    <w:p>
      <w:pPr>
        <w:pStyle w:val="1126"/>
        <w:ind w:firstLine="480"/>
        <w:jc w:val="left"/>
        <w:spacing w:line="360" w:lineRule="auto"/>
        <w:widowControl/>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网“下载中心”下载并查阅</w:t>
      </w:r>
      <w:r>
        <w:rPr>
          <w:rFonts w:ascii="宋体" w:hAnsi="宋体"/>
          <w:color w:val="000000"/>
          <w:sz w:val="24"/>
          <w:highlight w:val="none"/>
          <w:lang w:bidi="ar"/>
        </w:rPr>
        <w:t xml:space="preserve"> </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w:t>
      </w:r>
      <w:r>
        <w:rPr>
          <w:rFonts w:hint="eastAsia"/>
          <w:color w:val="000000"/>
          <w:sz w:val="24"/>
          <w:highlight w:val="none"/>
          <w:lang w:bidi="ar"/>
        </w:rPr>
        <w:t xml:space="preserve">政务CA</w:t>
      </w:r>
      <w:r>
        <w:rPr>
          <w:color w:val="000000"/>
          <w:sz w:val="24"/>
          <w:highlight w:val="none"/>
          <w:lang w:bidi="ar"/>
        </w:rPr>
        <w:t xml:space="preserve">证书办理指南</w:t>
      </w:r>
      <w:r>
        <w:rPr>
          <w:rFonts w:ascii="宋体" w:hAnsi="宋体"/>
          <w:color w:val="000000"/>
          <w:sz w:val="24"/>
          <w:highlight w:val="none"/>
          <w:lang w:bidi="ar"/>
        </w:rPr>
        <w:t xml:space="preserve">，按照程序要求办理。</w:t>
      </w:r>
      <w:r>
        <w:rPr>
          <w:rFonts w:ascii="宋体" w:hAnsi="宋体"/>
          <w:color w:val="000000"/>
          <w:sz w:val="24"/>
          <w:highlight w:val="none"/>
        </w:rPr>
      </w:r>
      <w:r/>
    </w:p>
    <w:p>
      <w:pPr>
        <w:pStyle w:val="1126"/>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2.2注册</w:t>
      </w:r>
      <w:r>
        <w:rPr>
          <w:rFonts w:ascii="宋体" w:hAnsi="宋体"/>
          <w:color w:val="000000"/>
          <w:sz w:val="24"/>
          <w:highlight w:val="none"/>
          <w:lang w:bidi="ar"/>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供应商操作指南</w:t>
      </w:r>
      <w:r>
        <w:rPr>
          <w:rFonts w:hint="eastAsia" w:ascii="宋体" w:hAnsi="宋体"/>
          <w:color w:val="000000"/>
          <w:sz w:val="24"/>
          <w:highlight w:val="none"/>
          <w:lang w:bidi="ar"/>
        </w:rPr>
        <w:t xml:space="preserve">”下载相关操作手册、操作视频等，查阅后</w:t>
      </w:r>
      <w:r>
        <w:rPr>
          <w:rFonts w:ascii="宋体" w:hAnsi="宋体"/>
          <w:color w:val="000000"/>
          <w:sz w:val="24"/>
          <w:highlight w:val="none"/>
          <w:lang w:bidi="ar"/>
        </w:rPr>
        <w:t xml:space="preserve">进行自助注册。</w:t>
      </w:r>
      <w:r>
        <w:rPr>
          <w:rFonts w:ascii="宋体" w:hAnsi="宋体"/>
          <w:color w:val="000000"/>
          <w:sz w:val="24"/>
          <w:highlight w:val="none"/>
        </w:rPr>
      </w:r>
      <w:r/>
    </w:p>
    <w:p>
      <w:pPr>
        <w:pStyle w:val="1126"/>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2.3</w:t>
      </w:r>
      <w:r>
        <w:rPr>
          <w:rFonts w:hint="eastAsia" w:ascii="宋体" w:hAnsi="宋体"/>
          <w:color w:val="000000"/>
          <w:sz w:val="24"/>
          <w:highlight w:val="none"/>
          <w:lang w:bidi="ar"/>
        </w:rPr>
        <w:t xml:space="preserve">控件</w:t>
      </w:r>
      <w:r>
        <w:rPr>
          <w:rFonts w:ascii="宋体" w:hAnsi="宋体"/>
          <w:color w:val="000000"/>
          <w:sz w:val="24"/>
          <w:highlight w:val="none"/>
          <w:lang w:bidi="ar"/>
        </w:rPr>
        <w:t xml:space="preserve">、客户端下载</w:t>
      </w:r>
      <w:r>
        <w:rPr>
          <w:rFonts w:ascii="宋体" w:hAnsi="宋体"/>
          <w:color w:val="000000"/>
          <w:sz w:val="24"/>
          <w:highlight w:val="none"/>
          <w:lang w:bidi="ar"/>
        </w:rPr>
      </w:r>
      <w:r/>
    </w:p>
    <w:p>
      <w:pPr>
        <w:pStyle w:val="1126"/>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网“下载中心”-“苏采云”系统（供应商）操作手册下载相关操作手册、操作视频等，查阅后进行自助注册。</w:t>
      </w:r>
      <w:r>
        <w:rPr>
          <w:color w:val="000000"/>
          <w:sz w:val="24"/>
          <w:highlight w:val="none"/>
        </w:rPr>
      </w:r>
      <w:r/>
    </w:p>
    <w:p>
      <w:pPr>
        <w:pStyle w:val="1126"/>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2.4 获取电子招标文件</w:t>
      </w:r>
      <w:r>
        <w:rPr>
          <w:rFonts w:ascii="宋体" w:hAnsi="宋体"/>
          <w:color w:val="000000"/>
          <w:sz w:val="24"/>
          <w:highlight w:val="none"/>
          <w:lang w:bidi="ar"/>
        </w:rPr>
      </w:r>
      <w:r/>
    </w:p>
    <w:p>
      <w:pPr>
        <w:pStyle w:val="1126"/>
        <w:ind w:firstLine="480"/>
        <w:spacing w:line="360" w:lineRule="auto"/>
        <w:rPr>
          <w:rFonts w:ascii="宋体" w:hAnsi="宋体"/>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bidi="ar"/>
        </w:rPr>
        <w:t xml:space="preserve">“苏采云”系统</w:t>
      </w:r>
      <w:r>
        <w:rPr>
          <w:color w:val="000000"/>
          <w:sz w:val="24"/>
          <w:highlight w:val="none"/>
          <w:lang w:bidi="ar"/>
        </w:rPr>
        <w:t xml:space="preserve">获取</w:t>
      </w:r>
      <w:r>
        <w:rPr>
          <w:rFonts w:ascii="宋体" w:hAnsi="宋体"/>
          <w:color w:val="000000"/>
          <w:sz w:val="24"/>
          <w:highlight w:val="none"/>
          <w:lang w:bidi="ar"/>
        </w:rPr>
        <w:t xml:space="preserve">电子招标文件。未在规定期限内通过</w:t>
      </w:r>
      <w:r>
        <w:rPr>
          <w:rFonts w:hint="eastAsia"/>
          <w:color w:val="000000"/>
          <w:sz w:val="24"/>
          <w:highlight w:val="none"/>
          <w:lang w:bidi="ar"/>
        </w:rPr>
        <w:t xml:space="preserve">“苏采云”</w:t>
      </w:r>
      <w:r>
        <w:rPr>
          <w:rFonts w:ascii="宋体" w:hAnsi="宋体"/>
          <w:color w:val="000000"/>
          <w:sz w:val="24"/>
          <w:highlight w:val="none"/>
          <w:lang w:bidi="ar"/>
        </w:rPr>
        <w:t xml:space="preserve">系统获取招标文件的</w:t>
      </w:r>
      <w:r>
        <w:rPr>
          <w:rFonts w:ascii="宋体" w:hAnsi="宋体"/>
          <w:b/>
          <w:color w:val="000000"/>
          <w:sz w:val="24"/>
          <w:highlight w:val="none"/>
          <w:lang w:bidi="ar"/>
        </w:rPr>
        <w:t xml:space="preserve">投标无效</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1126"/>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2.5编制电子投标文件</w:t>
      </w:r>
      <w:r>
        <w:rPr>
          <w:rFonts w:ascii="宋体" w:hAnsi="宋体"/>
          <w:color w:val="000000"/>
          <w:sz w:val="24"/>
          <w:highlight w:val="none"/>
          <w:lang w:bidi="ar"/>
        </w:rPr>
      </w:r>
      <w:r/>
    </w:p>
    <w:p>
      <w:pPr>
        <w:pStyle w:val="1126"/>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供应商应使用电子投标</w:t>
      </w:r>
      <w:r>
        <w:rPr>
          <w:rFonts w:hint="eastAsia" w:ascii="宋体" w:hAnsi="宋体"/>
          <w:color w:val="000000"/>
          <w:sz w:val="24"/>
          <w:highlight w:val="none"/>
          <w:lang w:bidi="ar"/>
        </w:rPr>
        <w:t xml:space="preserve">文件制作</w:t>
      </w:r>
      <w:r>
        <w:rPr>
          <w:rFonts w:ascii="宋体" w:hAnsi="宋体"/>
          <w:color w:val="000000"/>
          <w:sz w:val="24"/>
          <w:highlight w:val="none"/>
          <w:lang w:bidi="ar"/>
        </w:rPr>
        <w:t xml:space="preserve">客户端编制电子投标文件并进行线上投标，供应商电子投标文件需要加密并加盖电子签章</w:t>
      </w:r>
      <w:r>
        <w:rPr>
          <w:rFonts w:ascii="宋体" w:hAnsi="宋体"/>
          <w:bCs/>
          <w:color w:val="000000"/>
          <w:sz w:val="24"/>
          <w:highlight w:val="none"/>
          <w:lang w:bidi="ar"/>
        </w:rPr>
        <w:t xml:space="preserve">，如无法按照要求在电子投标文件中加盖电子签章和加密，请及时通过技术支持服务热线联系技术人员</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1126"/>
        <w:ind w:firstLine="480"/>
        <w:jc w:val="left"/>
        <w:spacing w:line="360" w:lineRule="auto"/>
        <w:widowControl/>
        <w:rPr>
          <w:rFonts w:ascii="宋体" w:hAnsi="宋体"/>
          <w:color w:val="000000"/>
          <w:sz w:val="24"/>
          <w:highlight w:val="none"/>
          <w:lang w:val="zh-TW" w:bidi="ar"/>
        </w:rPr>
      </w:pPr>
      <w:r>
        <w:rPr>
          <w:rFonts w:ascii="宋体" w:hAnsi="宋体"/>
          <w:color w:val="000000"/>
          <w:sz w:val="24"/>
          <w:highlight w:val="none"/>
          <w:lang w:val="zh-TW" w:eastAsia="zh-TW" w:bidi="ar"/>
        </w:rPr>
        <w:t xml:space="preserve">2.6</w:t>
      </w:r>
      <w:r>
        <w:rPr>
          <w:rFonts w:ascii="宋体" w:hAnsi="宋体"/>
          <w:color w:val="000000"/>
          <w:sz w:val="24"/>
          <w:highlight w:val="none"/>
          <w:lang w:val="zh-TW" w:bidi="ar"/>
        </w:rPr>
        <w:t xml:space="preserve">提交电子投标文件</w:t>
      </w:r>
      <w:r>
        <w:rPr>
          <w:rFonts w:ascii="宋体" w:hAnsi="宋体"/>
          <w:color w:val="000000"/>
          <w:sz w:val="24"/>
          <w:highlight w:val="none"/>
          <w:lang w:val="zh-TW" w:bidi="ar"/>
        </w:rPr>
      </w:r>
      <w:r/>
    </w:p>
    <w:p>
      <w:pPr>
        <w:pStyle w:val="1126"/>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供应商应于投标截止时间前在</w:t>
      </w:r>
      <w:r>
        <w:rPr>
          <w:rFonts w:hint="eastAsia"/>
          <w:color w:val="000000"/>
          <w:sz w:val="24"/>
          <w:highlight w:val="none"/>
          <w:lang w:bidi="ar"/>
        </w:rPr>
        <w:t xml:space="preserve">“苏采云”</w:t>
      </w:r>
      <w:r>
        <w:rPr>
          <w:rFonts w:hint="eastAsia" w:ascii="宋体" w:hAnsi="宋体"/>
          <w:color w:val="000000"/>
          <w:sz w:val="24"/>
          <w:highlight w:val="none"/>
          <w:lang w:bidi="ar"/>
        </w:rPr>
        <w:t xml:space="preserve">系统</w:t>
      </w:r>
      <w:r>
        <w:rPr>
          <w:rFonts w:ascii="宋体" w:hAnsi="宋体"/>
          <w:color w:val="000000"/>
          <w:sz w:val="24"/>
          <w:highlight w:val="none"/>
          <w:lang w:bidi="ar"/>
        </w:rPr>
        <w:t xml:space="preserve">提交电子投标文件，上传电子投标文件过程中请保持与互联网的连接畅通。</w:t>
      </w:r>
      <w:r>
        <w:rPr>
          <w:rFonts w:ascii="宋体" w:hAnsi="宋体"/>
          <w:color w:val="000000"/>
          <w:sz w:val="24"/>
          <w:highlight w:val="none"/>
          <w:lang w:bidi="ar"/>
        </w:rPr>
      </w:r>
      <w:r/>
    </w:p>
    <w:p>
      <w:pPr>
        <w:pStyle w:val="1126"/>
        <w:ind w:firstLine="480"/>
        <w:jc w:val="left"/>
        <w:spacing w:line="360" w:lineRule="auto"/>
        <w:widowControl/>
        <w:rPr>
          <w:rFonts w:ascii="宋体" w:hAnsi="宋体"/>
          <w:color w:val="000000"/>
          <w:sz w:val="24"/>
          <w:highlight w:val="none"/>
          <w:lang w:eastAsia="zh-TW" w:bidi="ar"/>
        </w:rPr>
      </w:pPr>
      <w:r>
        <w:rPr>
          <w:rFonts w:ascii="宋体" w:hAnsi="宋体"/>
          <w:color w:val="000000"/>
          <w:sz w:val="24"/>
          <w:highlight w:val="none"/>
          <w:lang w:val="zh-TW" w:eastAsia="zh-TW" w:bidi="ar"/>
        </w:rPr>
        <w:t xml:space="preserve">2</w:t>
      </w:r>
      <w:r>
        <w:rPr>
          <w:rFonts w:ascii="宋体" w:hAnsi="宋体"/>
          <w:color w:val="000000"/>
          <w:sz w:val="24"/>
          <w:highlight w:val="none"/>
          <w:lang w:val="zh-TW" w:bidi="ar"/>
        </w:rPr>
        <w:t xml:space="preserve">.</w:t>
      </w:r>
      <w:r>
        <w:rPr>
          <w:rFonts w:ascii="宋体" w:hAnsi="宋体"/>
          <w:color w:val="000000"/>
          <w:sz w:val="24"/>
          <w:highlight w:val="none"/>
          <w:lang w:val="zh-TW" w:eastAsia="zh-TW" w:bidi="ar"/>
        </w:rPr>
        <w:t xml:space="preserve">7</w:t>
      </w:r>
      <w:r>
        <w:rPr>
          <w:rFonts w:ascii="宋体" w:hAnsi="宋体"/>
          <w:color w:val="000000"/>
          <w:sz w:val="24"/>
          <w:highlight w:val="none"/>
          <w:lang w:val="zh-TW" w:bidi="ar"/>
        </w:rPr>
        <w:t xml:space="preserve">电子开标</w:t>
      </w:r>
      <w:r>
        <w:rPr>
          <w:rFonts w:ascii="宋体" w:hAnsi="宋体"/>
          <w:color w:val="000000"/>
          <w:sz w:val="24"/>
          <w:highlight w:val="none"/>
          <w:lang w:eastAsia="zh-TW" w:bidi="ar"/>
        </w:rPr>
      </w:r>
      <w:r/>
    </w:p>
    <w:p>
      <w:pPr>
        <w:pStyle w:val="1126"/>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bidi="ar"/>
        </w:rPr>
        <w:t xml:space="preserve">供应商使用</w:t>
      </w:r>
      <w:r>
        <w:rPr>
          <w:rFonts w:ascii="宋体" w:hAnsi="宋体"/>
          <w:color w:val="000000"/>
          <w:sz w:val="24"/>
          <w:highlight w:val="none"/>
          <w:lang w:bidi="ar"/>
        </w:rPr>
        <w:t xml:space="preserve">CA认证证书</w:t>
      </w:r>
      <w:r>
        <w:rPr>
          <w:rFonts w:ascii="宋体" w:hAnsi="宋体"/>
          <w:color w:val="000000"/>
          <w:sz w:val="24"/>
          <w:highlight w:val="none"/>
          <w:lang w:val="zh-TW" w:bidi="ar"/>
        </w:rPr>
        <w:t xml:space="preserve">登录</w:t>
      </w:r>
      <w:r>
        <w:rPr>
          <w:rFonts w:hint="eastAsia"/>
          <w:color w:val="000000"/>
          <w:sz w:val="24"/>
          <w:highlight w:val="none"/>
          <w:lang w:bidi="ar"/>
        </w:rPr>
        <w:t xml:space="preserve">“苏采云”</w:t>
      </w:r>
      <w:r>
        <w:rPr>
          <w:rFonts w:ascii="宋体" w:hAnsi="宋体"/>
          <w:color w:val="000000"/>
          <w:sz w:val="24"/>
          <w:highlight w:val="none"/>
          <w:lang w:bidi="ar"/>
        </w:rPr>
        <w:t xml:space="preserve">系统进行电子</w:t>
      </w:r>
      <w:r>
        <w:rPr>
          <w:rFonts w:hint="eastAsia" w:ascii="宋体" w:hAnsi="宋体"/>
          <w:color w:val="000000"/>
          <w:sz w:val="24"/>
          <w:highlight w:val="none"/>
          <w:lang w:bidi="ar"/>
        </w:rPr>
        <w:t xml:space="preserve">化不见面</w:t>
      </w:r>
      <w:r>
        <w:rPr>
          <w:rFonts w:ascii="宋体" w:hAnsi="宋体"/>
          <w:color w:val="000000"/>
          <w:sz w:val="24"/>
          <w:highlight w:val="none"/>
          <w:lang w:bidi="ar"/>
        </w:rPr>
        <w:t xml:space="preserve">开标</w:t>
      </w:r>
      <w:r>
        <w:rPr>
          <w:rFonts w:ascii="宋体" w:hAnsi="宋体"/>
          <w:color w:val="000000"/>
          <w:sz w:val="24"/>
          <w:highlight w:val="none"/>
          <w:lang w:val="zh-TW" w:bidi="ar"/>
        </w:rPr>
        <w:t xml:space="preserve">。</w:t>
      </w:r>
      <w:r>
        <w:rPr>
          <w:rFonts w:hint="eastAsia" w:ascii="宋体" w:hAnsi="宋体"/>
          <w:color w:val="000000"/>
          <w:sz w:val="24"/>
          <w:highlight w:val="none"/>
          <w:lang w:val="zh-TW" w:bidi="ar"/>
        </w:rPr>
      </w:r>
      <w:r/>
    </w:p>
    <w:p>
      <w:pPr>
        <w:pStyle w:val="1126"/>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eastAsia="zh-TW" w:bidi="ar"/>
        </w:rPr>
        <w:t xml:space="preserve">2</w:t>
      </w:r>
      <w:r>
        <w:rPr>
          <w:rFonts w:hint="eastAsia" w:ascii="宋体" w:hAnsi="宋体"/>
          <w:color w:val="000000"/>
          <w:sz w:val="24"/>
          <w:highlight w:val="none"/>
          <w:lang w:val="zh-TW" w:bidi="ar"/>
        </w:rPr>
        <w:t xml:space="preserve">.8注意事项</w:t>
      </w:r>
      <w:r>
        <w:rPr>
          <w:rFonts w:hint="eastAsia" w:ascii="宋体" w:hAnsi="宋体"/>
          <w:color w:val="000000"/>
          <w:sz w:val="24"/>
          <w:highlight w:val="none"/>
          <w:lang w:val="zh-TW" w:bidi="ar"/>
        </w:rPr>
      </w:r>
      <w:r/>
    </w:p>
    <w:p>
      <w:pPr>
        <w:pStyle w:val="1126"/>
        <w:ind w:firstLine="480"/>
        <w:spacing w:line="360" w:lineRule="auto"/>
        <w:rPr>
          <w:rFonts w:ascii="宋体" w:hAnsi="宋体"/>
          <w:color w:val="000000"/>
          <w:sz w:val="24"/>
          <w:highlight w:val="none"/>
          <w:lang w:eastAsia="zh-TW"/>
        </w:rPr>
      </w:pPr>
      <w:r>
        <w:rPr>
          <w:rFonts w:ascii="宋体" w:hAnsi="宋体"/>
          <w:color w:val="000000"/>
          <w:sz w:val="24"/>
          <w:highlight w:val="none"/>
          <w:lang w:val="zh-TW" w:bidi="ar"/>
        </w:rPr>
        <w:t xml:space="preserve">供应商</w:t>
      </w:r>
      <w:r>
        <w:rPr>
          <w:rFonts w:hint="eastAsia" w:ascii="宋体" w:hAnsi="宋体"/>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w:t>
      </w:r>
      <w:r>
        <w:rPr>
          <w:rFonts w:ascii="宋体" w:hAnsi="宋体"/>
          <w:color w:val="000000"/>
          <w:sz w:val="24"/>
          <w:highlight w:val="none"/>
          <w:lang w:eastAsia="zh-TW"/>
        </w:rPr>
      </w:r>
      <w:r/>
    </w:p>
    <w:p>
      <w:pPr>
        <w:pStyle w:val="1126"/>
        <w:ind w:firstLine="480"/>
        <w:spacing w:line="360" w:lineRule="auto"/>
        <w:rPr>
          <w:rFonts w:ascii="宋体" w:hAnsi="宋体"/>
          <w:color w:val="000000"/>
          <w:sz w:val="24"/>
          <w:highlight w:val="none"/>
          <w:lang w:val="zh-TW" w:bidi="ar"/>
        </w:rPr>
      </w:pPr>
      <w:r>
        <w:rPr>
          <w:rFonts w:ascii="宋体" w:hAnsi="宋体"/>
          <w:color w:val="000000"/>
          <w:sz w:val="24"/>
          <w:highlight w:val="none"/>
          <w:lang w:val="zh-TW" w:eastAsia="zh-TW" w:bidi="ar"/>
        </w:rPr>
        <w:t xml:space="preserve">3</w:t>
      </w:r>
      <w:r>
        <w:rPr>
          <w:rFonts w:hint="eastAsia" w:ascii="宋体" w:hAnsi="宋体"/>
          <w:color w:val="000000"/>
          <w:sz w:val="24"/>
          <w:highlight w:val="none"/>
          <w:lang w:val="zh-TW" w:bidi="ar"/>
        </w:rPr>
        <w:t xml:space="preserve">.关于常州市中小企业政府采购信用融资：</w:t>
      </w:r>
      <w:r>
        <w:rPr>
          <w:rFonts w:ascii="宋体" w:hAnsi="宋体"/>
          <w:color w:val="000000"/>
          <w:sz w:val="24"/>
          <w:highlight w:val="none"/>
          <w:lang w:val="zh-TW" w:bidi="ar"/>
        </w:rPr>
      </w:r>
      <w:r/>
    </w:p>
    <w:p>
      <w:pPr>
        <w:pStyle w:val="1126"/>
        <w:ind w:firstLine="480"/>
        <w:spacing w:line="360" w:lineRule="auto"/>
        <w:rPr>
          <w:rFonts w:ascii="宋体" w:hAnsi="宋体"/>
          <w:color w:val="000000"/>
          <w:sz w:val="24"/>
          <w:highlight w:val="none"/>
          <w:lang w:val="zh-TW" w:bidi="ar"/>
        </w:rPr>
      </w:pPr>
      <w:r>
        <w:rPr>
          <w:rFonts w:hint="eastAsia" w:ascii="宋体" w:hAnsi="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olor w:val="000000"/>
          <w:sz w:val="24"/>
          <w:highlight w:val="none"/>
          <w:lang w:val="zh-TW" w:bidi="ar"/>
        </w:rPr>
      </w:r>
      <w:r/>
    </w:p>
    <w:p>
      <w:pPr>
        <w:pStyle w:val="1128"/>
        <w:jc w:val="left"/>
        <w:spacing w:before="0" w:line="360" w:lineRule="auto"/>
        <w:rPr>
          <w:rFonts w:ascii="宋体" w:hAnsi="宋体" w:eastAsia="宋体"/>
          <w:color w:val="000000"/>
          <w:sz w:val="24"/>
          <w:szCs w:val="24"/>
          <w:highlight w:val="none"/>
        </w:rPr>
      </w:pPr>
      <w:r/>
      <w:bookmarkStart w:id="31" w:name="_Toc28359008"/>
      <w:r/>
      <w:bookmarkStart w:id="32" w:name="_Toc35393796"/>
      <w:r/>
      <w:bookmarkStart w:id="33" w:name="_Toc35393627"/>
      <w:r/>
      <w:bookmarkStart w:id="34" w:name="_Toc28359085"/>
      <w:r>
        <w:rPr>
          <w:rFonts w:ascii="宋体" w:hAnsi="宋体" w:eastAsia="宋体"/>
          <w:color w:val="000000"/>
          <w:sz w:val="24"/>
          <w:szCs w:val="24"/>
          <w:highlight w:val="none"/>
        </w:rPr>
        <w:t xml:space="preserve">七、对本次招标提出询问，请按以下方式联系。</w:t>
      </w:r>
      <w:bookmarkEnd w:id="31"/>
      <w:r/>
      <w:bookmarkEnd w:id="32"/>
      <w:r/>
      <w:bookmarkEnd w:id="33"/>
      <w:r/>
      <w:bookmarkEnd w:id="34"/>
      <w:r>
        <w:rPr>
          <w:rFonts w:ascii="宋体" w:hAnsi="宋体" w:eastAsia="宋体"/>
          <w:color w:val="000000"/>
          <w:sz w:val="24"/>
          <w:szCs w:val="24"/>
          <w:highlight w:val="none"/>
        </w:rPr>
      </w:r>
      <w:r/>
    </w:p>
    <w:p>
      <w:pPr>
        <w:pStyle w:val="1126"/>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1.采购人信息</w:t>
      </w:r>
      <w:r>
        <w:rPr>
          <w:rFonts w:ascii="宋体" w:hAnsi="宋体"/>
          <w:b/>
          <w:color w:val="000000"/>
          <w:sz w:val="24"/>
          <w:highlight w:val="none"/>
        </w:rPr>
      </w:r>
      <w:r/>
    </w:p>
    <w:p>
      <w:pPr>
        <w:pStyle w:val="1126"/>
        <w:ind w:left="1079" w:hanging="300"/>
        <w:jc w:val="left"/>
        <w:spacing w:line="360" w:lineRule="auto"/>
        <w:rPr>
          <w:rFonts w:hint="eastAsia" w:ascii="宋体" w:hAnsi="宋体"/>
          <w:bCs/>
          <w:color w:val="000000"/>
          <w:sz w:val="24"/>
          <w:highlight w:val="none"/>
        </w:rPr>
      </w:pPr>
      <w:r/>
      <w:bookmarkStart w:id="35" w:name="_Toc28359009"/>
      <w:r/>
      <w:bookmarkStart w:id="36" w:name="_Toc28359086"/>
      <w:r>
        <w:rPr>
          <w:rFonts w:hint="eastAsia" w:ascii="宋体" w:hAnsi="宋体"/>
          <w:bCs/>
          <w:color w:val="000000"/>
          <w:sz w:val="24"/>
          <w:highlight w:val="none"/>
        </w:rPr>
        <w:t xml:space="preserve">名  称：常州市第一人民医院</w:t>
      </w:r>
      <w:r>
        <w:rPr>
          <w:rFonts w:hint="eastAsia" w:ascii="宋体" w:hAnsi="宋体"/>
          <w:bCs/>
          <w:color w:val="000000"/>
          <w:sz w:val="24"/>
          <w:highlight w:val="none"/>
        </w:rPr>
      </w:r>
      <w:r/>
    </w:p>
    <w:p>
      <w:pPr>
        <w:pStyle w:val="1126"/>
        <w:ind w:left="1079" w:hanging="30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地  址：常州市局前街185号 </w:t>
      </w:r>
      <w:r>
        <w:rPr>
          <w:rFonts w:hint="eastAsia" w:ascii="宋体" w:hAnsi="宋体"/>
          <w:bCs/>
          <w:color w:val="000000"/>
          <w:sz w:val="24"/>
          <w:highlight w:val="none"/>
        </w:rPr>
      </w:r>
      <w:r/>
    </w:p>
    <w:p>
      <w:pPr>
        <w:pStyle w:val="1126"/>
        <w:ind w:left="1079" w:hanging="30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联系人：武女士</w:t>
      </w:r>
      <w:r>
        <w:rPr>
          <w:rFonts w:ascii="宋体" w:hAnsi="宋体"/>
          <w:bCs/>
          <w:color w:val="000000"/>
          <w:sz w:val="24"/>
          <w:highlight w:val="none"/>
        </w:rPr>
      </w:r>
      <w:r/>
    </w:p>
    <w:p>
      <w:pPr>
        <w:pStyle w:val="1126"/>
        <w:ind w:left="1079" w:hanging="30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联系电话：0519-68870782</w:t>
      </w:r>
      <w:r>
        <w:rPr>
          <w:rFonts w:ascii="宋体" w:hAnsi="宋体"/>
          <w:bCs/>
          <w:color w:val="000000"/>
          <w:sz w:val="24"/>
          <w:highlight w:val="none"/>
        </w:rPr>
      </w:r>
      <w:r/>
    </w:p>
    <w:p>
      <w:pPr>
        <w:pStyle w:val="1126"/>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2.采购代理机构信息</w:t>
      </w:r>
      <w:bookmarkEnd w:id="35"/>
      <w:r/>
      <w:bookmarkEnd w:id="36"/>
      <w:r>
        <w:rPr>
          <w:rFonts w:ascii="宋体" w:hAnsi="宋体"/>
          <w:b/>
          <w:color w:val="000000"/>
          <w:sz w:val="24"/>
          <w:highlight w:val="none"/>
        </w:rPr>
      </w:r>
      <w:r/>
    </w:p>
    <w:p>
      <w:pPr>
        <w:pStyle w:val="1126"/>
        <w:ind w:left="1079" w:hanging="300"/>
        <w:jc w:val="left"/>
        <w:spacing w:line="360" w:lineRule="auto"/>
        <w:rPr>
          <w:rFonts w:hint="eastAsia" w:ascii="宋体" w:hAnsi="宋体"/>
          <w:color w:val="000000"/>
          <w:sz w:val="24"/>
          <w:highlight w:val="none"/>
        </w:rPr>
      </w:pPr>
      <w:r/>
      <w:bookmarkStart w:id="37" w:name="_Toc28359087"/>
      <w:r/>
      <w:bookmarkStart w:id="38" w:name="_Toc28359010"/>
      <w:r>
        <w:rPr>
          <w:rFonts w:hint="eastAsia" w:ascii="宋体" w:hAnsi="宋体"/>
          <w:color w:val="000000"/>
          <w:sz w:val="24"/>
          <w:highlight w:val="none"/>
        </w:rPr>
        <w:t xml:space="preserve">名  称：常州盈泰招标有限公司</w:t>
      </w:r>
      <w:r>
        <w:rPr>
          <w:rFonts w:hint="eastAsia" w:ascii="宋体" w:hAnsi="宋体"/>
          <w:color w:val="000000"/>
          <w:sz w:val="24"/>
          <w:highlight w:val="none"/>
        </w:rPr>
      </w:r>
      <w:r/>
    </w:p>
    <w:p>
      <w:pPr>
        <w:pStyle w:val="1126"/>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址：常州市新北区太湖中路8号锦湖创新中心A座11楼</w:t>
      </w:r>
      <w:r>
        <w:rPr>
          <w:rFonts w:hint="eastAsia" w:ascii="宋体" w:hAnsi="宋体"/>
          <w:color w:val="000000"/>
          <w:sz w:val="24"/>
          <w:highlight w:val="none"/>
        </w:rPr>
      </w:r>
      <w:r/>
    </w:p>
    <w:p>
      <w:pPr>
        <w:pStyle w:val="1126"/>
        <w:ind w:left="1079" w:hanging="300"/>
        <w:jc w:val="left"/>
        <w:spacing w:line="360" w:lineRule="auto"/>
        <w:rPr>
          <w:rFonts w:ascii="宋体" w:hAnsi="宋体"/>
          <w:color w:val="000000"/>
          <w:sz w:val="24"/>
          <w:highlight w:val="none"/>
        </w:rPr>
      </w:pPr>
      <w:r>
        <w:rPr>
          <w:rFonts w:hint="eastAsia" w:ascii="宋体" w:hAnsi="宋体"/>
          <w:color w:val="000000"/>
          <w:sz w:val="24"/>
          <w:highlight w:val="none"/>
        </w:rPr>
        <w:t xml:space="preserve">联系方式：0519-89853339</w:t>
      </w:r>
      <w:r>
        <w:rPr>
          <w:rFonts w:ascii="宋体" w:hAnsi="宋体"/>
          <w:color w:val="000000"/>
          <w:sz w:val="24"/>
          <w:highlight w:val="none"/>
        </w:rPr>
        <w:t xml:space="preserve"> </w:t>
      </w:r>
      <w:r>
        <w:rPr>
          <w:rFonts w:ascii="宋体" w:hAnsi="宋体"/>
          <w:color w:val="000000"/>
          <w:sz w:val="24"/>
          <w:highlight w:val="none"/>
        </w:rPr>
      </w:r>
      <w:r/>
    </w:p>
    <w:p>
      <w:pPr>
        <w:pStyle w:val="1126"/>
        <w:ind w:firstLine="723"/>
        <w:spacing w:line="360" w:lineRule="auto"/>
        <w:rPr>
          <w:rFonts w:ascii="宋体" w:hAnsi="宋体"/>
          <w:b/>
          <w:color w:val="000000"/>
          <w:sz w:val="24"/>
          <w:highlight w:val="none"/>
          <w:u w:val="single"/>
        </w:rPr>
      </w:pPr>
      <w:r>
        <w:rPr>
          <w:rFonts w:ascii="宋体" w:hAnsi="宋体"/>
          <w:b/>
          <w:color w:val="000000"/>
          <w:sz w:val="24"/>
          <w:highlight w:val="none"/>
        </w:rPr>
        <w:t xml:space="preserve">3.项目联系方式</w:t>
      </w:r>
      <w:bookmarkEnd w:id="37"/>
      <w:r/>
      <w:bookmarkEnd w:id="38"/>
      <w:r>
        <w:rPr>
          <w:rFonts w:ascii="宋体" w:hAnsi="宋体"/>
          <w:b/>
          <w:color w:val="000000"/>
          <w:sz w:val="24"/>
          <w:highlight w:val="none"/>
          <w:u w:val="single"/>
        </w:rPr>
      </w:r>
      <w:r/>
    </w:p>
    <w:p>
      <w:pPr>
        <w:pStyle w:val="1126"/>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项目联系人：王女士</w:t>
      </w:r>
      <w:r>
        <w:rPr>
          <w:rFonts w:hint="eastAsia" w:ascii="宋体" w:hAnsi="宋体"/>
          <w:color w:val="000000"/>
          <w:sz w:val="24"/>
          <w:highlight w:val="none"/>
        </w:rPr>
      </w:r>
      <w:r/>
    </w:p>
    <w:p>
      <w:pPr>
        <w:pStyle w:val="1126"/>
        <w:ind w:left="1079" w:hanging="300"/>
        <w:jc w:val="left"/>
        <w:spacing w:line="360" w:lineRule="auto"/>
        <w:rPr>
          <w:rFonts w:ascii="宋体" w:hAnsi="宋体"/>
          <w:color w:val="000000"/>
          <w:sz w:val="24"/>
          <w:highlight w:val="none"/>
        </w:rPr>
      </w:pPr>
      <w:r>
        <w:rPr>
          <w:rFonts w:hint="eastAsia" w:ascii="宋体" w:hAnsi="宋体"/>
          <w:color w:val="000000"/>
          <w:sz w:val="24"/>
          <w:highlight w:val="none"/>
        </w:rPr>
        <w:t xml:space="preserve">电  话：0519-89853339</w:t>
      </w:r>
      <w:r>
        <w:rPr>
          <w:rFonts w:ascii="宋体" w:hAnsi="宋体"/>
          <w:color w:val="000000"/>
          <w:sz w:val="24"/>
          <w:highlight w:val="none"/>
        </w:rPr>
      </w:r>
      <w:r/>
    </w:p>
    <w:p>
      <w:pPr>
        <w:pStyle w:val="1126"/>
        <w:ind w:left="1080" w:hanging="301"/>
        <w:jc w:val="left"/>
        <w:spacing w:line="360" w:lineRule="auto"/>
        <w:rPr>
          <w:rFonts w:ascii="宋体" w:hAnsi="宋体"/>
          <w:b/>
          <w:bCs/>
          <w:color w:val="000000"/>
          <w:sz w:val="24"/>
          <w:highlight w:val="none"/>
        </w:rPr>
      </w:pPr>
      <w:r>
        <w:rPr>
          <w:rFonts w:hint="eastAsia"/>
          <w:b/>
          <w:bCs/>
          <w:color w:val="000000"/>
          <w:sz w:val="24"/>
          <w:highlight w:val="none"/>
        </w:rPr>
        <w:t xml:space="preserve">注：以上个人信息，由于工作需要经机构或本人同意对外公布。</w:t>
      </w:r>
      <w:r>
        <w:rPr>
          <w:rFonts w:ascii="宋体" w:hAnsi="宋体"/>
          <w:b/>
          <w:bCs/>
          <w:color w:val="000000"/>
          <w:sz w:val="24"/>
          <w:highlight w:val="none"/>
        </w:rPr>
      </w:r>
      <w:r/>
    </w:p>
    <w:p>
      <w:pPr>
        <w:pStyle w:val="1126"/>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9" w:name="_Toc353873938"/>
      <w:r/>
      <w:bookmarkStart w:id="40" w:name="_Toc150774783"/>
      <w:r/>
      <w:bookmarkStart w:id="41" w:name="_Toc512937850"/>
      <w:r/>
      <w:bookmarkStart w:id="42" w:name="_Toc353825548"/>
      <w:r/>
      <w:bookmarkStart w:id="43" w:name="_Toc226965856"/>
      <w:r/>
      <w:bookmarkStart w:id="44" w:name="_Toc305158854"/>
      <w:r/>
      <w:bookmarkStart w:id="45" w:name="_Toc5253"/>
      <w:r/>
      <w:bookmarkStart w:id="46" w:name="_Toc305158928"/>
      <w:r/>
      <w:bookmarkStart w:id="47" w:name="_Toc265228423"/>
      <w:r/>
      <w:bookmarkStart w:id="48" w:name="_Toc195842950"/>
      <w:r/>
      <w:bookmarkStart w:id="49" w:name="_Toc127161488"/>
      <w:r/>
      <w:bookmarkStart w:id="50" w:name="_Toc264969275"/>
      <w:r/>
      <w:bookmarkStart w:id="51" w:name="_Toc127151777"/>
      <w:r>
        <w:rPr>
          <w:rFonts w:ascii="宋体" w:hAnsi="宋体"/>
          <w:b/>
          <w:color w:val="000000"/>
          <w:sz w:val="36"/>
          <w:szCs w:val="36"/>
          <w:highlight w:val="none"/>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rFonts w:ascii="宋体" w:hAnsi="宋体"/>
          <w:b/>
          <w:color w:val="000000"/>
          <w:sz w:val="32"/>
          <w:szCs w:val="32"/>
          <w:highlight w:val="none"/>
        </w:rPr>
      </w:r>
      <w:r/>
    </w:p>
    <w:p>
      <w:pPr>
        <w:pStyle w:val="1128"/>
        <w:spacing w:before="0" w:line="360" w:lineRule="auto"/>
        <w:tabs>
          <w:tab w:val="center" w:pos="4592" w:leader="none"/>
          <w:tab w:val="left" w:pos="7860" w:leader="none"/>
        </w:tabs>
        <w:rPr>
          <w:rFonts w:ascii="宋体" w:hAnsi="宋体" w:eastAsia="宋体"/>
          <w:color w:val="000000"/>
          <w:sz w:val="28"/>
          <w:highlight w:val="none"/>
        </w:rPr>
      </w:pPr>
      <w:r/>
      <w:bookmarkStart w:id="52" w:name="_Toc226965709"/>
      <w:r/>
      <w:bookmarkStart w:id="53" w:name="_Toc520356144"/>
      <w:r/>
      <w:bookmarkStart w:id="54" w:name="_Toc151193689"/>
      <w:r/>
      <w:bookmarkStart w:id="55" w:name="_Toc150480757"/>
      <w:r/>
      <w:bookmarkStart w:id="56" w:name="_Toc127151720"/>
      <w:r/>
      <w:bookmarkStart w:id="57" w:name="_Toc164351613"/>
      <w:r/>
      <w:bookmarkStart w:id="58" w:name="_Toc127151519"/>
      <w:r/>
      <w:bookmarkStart w:id="59" w:name="_Toc151193617"/>
      <w:r/>
      <w:bookmarkStart w:id="60" w:name="_Toc164608633"/>
      <w:r/>
      <w:bookmarkStart w:id="61" w:name="_Toc151193761"/>
      <w:r/>
      <w:bookmarkStart w:id="62" w:name="_Toc150774724"/>
      <w:r/>
      <w:bookmarkStart w:id="63" w:name="_Toc149720812"/>
      <w:r/>
      <w:bookmarkStart w:id="64" w:name="_Toc150774619"/>
      <w:r/>
      <w:bookmarkStart w:id="65" w:name="_Toc151193907"/>
      <w:r/>
      <w:bookmarkStart w:id="66" w:name="_Toc164608788"/>
      <w:r/>
      <w:bookmarkStart w:id="67" w:name="_Toc164229360"/>
      <w:r/>
      <w:bookmarkStart w:id="68" w:name="_Toc226309763"/>
      <w:r/>
      <w:bookmarkStart w:id="69" w:name="_Toc226337215"/>
      <w:r/>
      <w:bookmarkStart w:id="70" w:name="_Toc226965792"/>
      <w:r/>
      <w:bookmarkStart w:id="71" w:name="_Toc127161433"/>
      <w:r/>
      <w:bookmarkStart w:id="72" w:name="_Toc142311021"/>
      <w:r/>
      <w:bookmarkStart w:id="73" w:name="_Toc151193833"/>
      <w:r/>
      <w:bookmarkStart w:id="74" w:name="_Toc151190146"/>
      <w:r/>
      <w:bookmarkStart w:id="75" w:name="_Toc150509270"/>
      <w:r/>
      <w:bookmarkStart w:id="76" w:name="_Toc195842884"/>
      <w:r/>
      <w:bookmarkStart w:id="77" w:name="_Toc16422921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126"/>
        <w:jc w:val="center"/>
        <w:rPr>
          <w:rFonts w:ascii="宋体" w:hAnsi="宋体"/>
          <w:b/>
          <w:color w:val="000000"/>
          <w:sz w:val="28"/>
          <w:szCs w:val="28"/>
          <w:highlight w:val="none"/>
        </w:rPr>
      </w:pPr>
      <w:r>
        <w:rPr>
          <w:rFonts w:ascii="宋体" w:hAnsi="宋体"/>
          <w:b/>
          <w:color w:val="000000"/>
          <w:sz w:val="28"/>
          <w:szCs w:val="28"/>
          <w:highlight w:val="none"/>
        </w:rPr>
      </w:r>
      <w:r/>
    </w:p>
    <w:p>
      <w:pPr>
        <w:pStyle w:val="1126"/>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26"/>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1126"/>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1126"/>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11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服务</w:t>
            </w:r>
            <w:r>
              <w:rPr>
                <w:rFonts w:ascii="宋体" w:hAnsi="宋体"/>
                <w:color w:val="000000"/>
                <w:sz w:val="24"/>
                <w:highlight w:val="none"/>
              </w:rPr>
            </w:r>
            <w:r/>
          </w:p>
          <w:p>
            <w:pPr>
              <w:pStyle w:val="1126"/>
              <w:jc w:val="left"/>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11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是</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1166"/>
              <w:rPr>
                <w:rFonts w:hAnsi="宋体"/>
                <w:color w:val="000000"/>
                <w:sz w:val="24"/>
                <w:szCs w:val="24"/>
                <w:highlight w:val="none"/>
              </w:rPr>
            </w:pP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 </w:t>
            </w:r>
            <w:r>
              <w:rPr>
                <w:rFonts w:hAnsi="宋体"/>
                <w:color w:val="000000"/>
                <w:sz w:val="24"/>
                <w:szCs w:val="24"/>
                <w:highlight w:val="none"/>
              </w:rPr>
              <w:t xml:space="preserve">包不适用。</w:t>
            </w:r>
            <w:r>
              <w:rPr>
                <w:rFonts w:hAnsi="宋体"/>
                <w:color w:val="000000"/>
                <w:sz w:val="24"/>
                <w:szCs w:val="24"/>
                <w:highlight w:val="none"/>
              </w:rPr>
            </w:r>
            <w:r/>
          </w:p>
          <w:p>
            <w:pPr>
              <w:pStyle w:val="1166"/>
              <w:rPr>
                <w:rFonts w:hAnsi="宋体"/>
                <w:color w:val="000000"/>
                <w:sz w:val="24"/>
                <w:szCs w:val="24"/>
                <w:highlight w:val="none"/>
              </w:rPr>
            </w:pPr>
            <w:r>
              <w:rPr>
                <w:rFonts w:hAnsi="宋体"/>
                <w:color w:val="000000"/>
                <w:sz w:val="24"/>
                <w:szCs w:val="24"/>
                <w:highlight w:val="none"/>
              </w:rPr>
              <w:t xml:space="preserve">■本项目__包为单一产品采购项目。</w:t>
            </w:r>
            <w:r>
              <w:rPr>
                <w:rFonts w:hAnsi="宋体"/>
                <w:color w:val="000000"/>
                <w:sz w:val="24"/>
                <w:szCs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□本项目__包为非单一产品采购项目，核心产品为：____。</w:t>
            </w:r>
            <w:r>
              <w:rPr>
                <w:rFonts w:ascii="宋体" w:hAnsi="宋体"/>
                <w:color w:val="000000"/>
                <w:sz w:val="24"/>
                <w:highlight w:val="none"/>
              </w:rPr>
            </w:r>
            <w:r/>
          </w:p>
        </w:tc>
      </w:tr>
      <w:tr>
        <w:trPr>
          <w:trHeight w:val="20"/>
        </w:trPr>
        <w:tc>
          <w:tcPr>
            <w:tcW w:w="988" w:type="dxa"/>
            <w:vAlign w:val="center"/>
            <w:vMerge w:val="restart"/>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1126"/>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1126"/>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166"/>
              <w:rPr>
                <w:rFonts w:hAnsi="宋体"/>
                <w:color w:val="000000"/>
                <w:sz w:val="24"/>
                <w:szCs w:val="24"/>
                <w:highlight w:val="none"/>
              </w:rPr>
            </w:pPr>
            <w:r>
              <w:rPr>
                <w:rFonts w:ascii="Times New Roman" w:hAnsi="Times New Roman"/>
                <w:color w:val="000000"/>
                <w:sz w:val="24"/>
                <w:highlight w:val="none"/>
              </w:rPr>
              <w:t xml:space="preserve">考察地点：___________。</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□召开，召开时间：</w:t>
            </w:r>
            <w:r>
              <w:rPr>
                <w:color w:val="000000"/>
                <w:sz w:val="24"/>
                <w:highlight w:val="none"/>
              </w:rPr>
              <w:t xml:space="preserve">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召开地点：____________</w:t>
            </w:r>
            <w:r>
              <w:rPr>
                <w:rFonts w:hint="eastAsia"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11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□需要，具体要求如下：</w:t>
            </w:r>
            <w:r>
              <w:rPr>
                <w:rFonts w:ascii="宋体" w:hAnsi="宋体"/>
                <w:color w:val="000000"/>
                <w:sz w:val="24"/>
                <w:highlight w:val="none"/>
              </w:rPr>
            </w:r>
            <w:r/>
          </w:p>
          <w:p>
            <w:pPr>
              <w:pStyle w:val="1126"/>
              <w:jc w:val="left"/>
              <w:rPr>
                <w:rFonts w:ascii="宋体" w:hAnsi="宋体"/>
                <w:color w:val="000000"/>
                <w:sz w:val="24"/>
                <w:highlight w:val="none"/>
                <w:u w:val="single"/>
              </w:rPr>
            </w:pPr>
            <w:r>
              <w:rPr>
                <w:rFonts w:ascii="宋体" w:hAnsi="宋体"/>
                <w:color w:val="000000"/>
                <w:sz w:val="24"/>
                <w:highlight w:val="none"/>
              </w:rPr>
              <w:t xml:space="preserve">（1）样品制作的标准和要求：_________；</w:t>
            </w:r>
            <w:r>
              <w:rPr>
                <w:rFonts w:ascii="宋体" w:hAnsi="宋体"/>
                <w:color w:val="000000"/>
                <w:sz w:val="24"/>
                <w:highlight w:val="none"/>
                <w:u w:val="single"/>
              </w:rPr>
            </w:r>
            <w:r/>
          </w:p>
          <w:p>
            <w:pPr>
              <w:pStyle w:val="1126"/>
              <w:jc w:val="lef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1126"/>
              <w:ind w:firstLine="600"/>
              <w:jc w:val="left"/>
              <w:rPr>
                <w:rFonts w:ascii="宋体" w:hAnsi="宋体"/>
                <w:color w:val="000000"/>
                <w:sz w:val="24"/>
                <w:highlight w:val="none"/>
              </w:rPr>
            </w:pPr>
            <w:r>
              <w:rPr>
                <w:rFonts w:ascii="宋体" w:hAnsi="宋体"/>
                <w:color w:val="000000"/>
                <w:sz w:val="24"/>
                <w:highlight w:val="none"/>
              </w:rPr>
              <w:t xml:space="preserve">□不需要</w:t>
            </w:r>
            <w:r>
              <w:rPr>
                <w:rFonts w:ascii="宋体" w:hAnsi="宋体"/>
                <w:color w:val="000000"/>
                <w:sz w:val="24"/>
                <w:highlight w:val="none"/>
              </w:rPr>
            </w:r>
            <w:r/>
          </w:p>
          <w:p>
            <w:pPr>
              <w:pStyle w:val="1126"/>
              <w:ind w:firstLine="600"/>
              <w:jc w:val="left"/>
              <w:rPr>
                <w:rFonts w:ascii="宋体" w:hAnsi="宋体"/>
                <w:color w:val="000000"/>
                <w:sz w:val="24"/>
                <w:highlight w:val="none"/>
              </w:rPr>
            </w:pPr>
            <w:r>
              <w:rPr>
                <w:rFonts w:ascii="宋体" w:hAnsi="宋体"/>
                <w:color w:val="000000"/>
                <w:sz w:val="24"/>
                <w:highlight w:val="none"/>
              </w:rPr>
              <w:t xml:space="preserve">□需要</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（3）样品递交要求：_________；</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（4）未中标人样品退还：_________；</w:t>
            </w:r>
            <w:r>
              <w:rPr>
                <w:rFonts w:ascii="宋体" w:hAnsi="宋体"/>
                <w:color w:val="000000"/>
                <w:sz w:val="24"/>
                <w:highlight w:val="none"/>
              </w:rPr>
            </w:r>
            <w:r/>
          </w:p>
          <w:p>
            <w:pPr>
              <w:pStyle w:val="1126"/>
              <w:jc w:val="left"/>
              <w:rPr>
                <w:rFonts w:ascii="宋体" w:hAnsi="宋体"/>
                <w:color w:val="000000"/>
                <w:sz w:val="24"/>
                <w:highlight w:val="none"/>
                <w:u w:val="single"/>
              </w:rPr>
            </w:pPr>
            <w:r>
              <w:rPr>
                <w:rFonts w:ascii="宋体" w:hAnsi="宋体"/>
                <w:color w:val="000000"/>
                <w:sz w:val="24"/>
                <w:highlight w:val="none"/>
              </w:rPr>
              <w:t xml:space="preserve">（5）中标人样品保管、封存及退还：_________；</w:t>
            </w:r>
            <w:r>
              <w:rPr>
                <w:rFonts w:ascii="宋体" w:hAnsi="宋体"/>
                <w:color w:val="000000"/>
                <w:sz w:val="24"/>
                <w:highlight w:val="none"/>
                <w:u w:val="single"/>
              </w:rPr>
            </w:r>
            <w:r/>
          </w:p>
          <w:p>
            <w:pPr>
              <w:pStyle w:val="1126"/>
              <w:jc w:val="left"/>
              <w:rPr>
                <w:rFonts w:ascii="宋体" w:hAnsi="宋体"/>
                <w:color w:val="000000"/>
                <w:sz w:val="24"/>
                <w:highlight w:val="none"/>
              </w:rPr>
            </w:pPr>
            <w:r>
              <w:rPr>
                <w:rFonts w:ascii="宋体" w:hAnsi="宋体"/>
                <w:color w:val="000000"/>
                <w:sz w:val="24"/>
                <w:highlight w:val="none"/>
              </w:rPr>
              <w:t xml:space="preserve">（6）其他要求（如有）：_________。</w:t>
            </w:r>
            <w:r>
              <w:rPr>
                <w:rFonts w:ascii="宋体" w:hAnsi="宋体"/>
                <w:color w:val="000000"/>
                <w:sz w:val="24"/>
                <w:highlight w:val="none"/>
              </w:rPr>
            </w:r>
            <w:r/>
          </w:p>
        </w:tc>
      </w:tr>
      <w:tr>
        <w:trPr>
          <w:trHeight w:val="74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1126"/>
              <w:jc w:val="left"/>
              <w:rPr>
                <w:rFonts w:hint="eastAsia"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4"/>
                <w:highlight w:val="none"/>
              </w:rPr>
            </w:r>
            <w:r/>
          </w:p>
        </w:tc>
      </w:tr>
    </w:tbl>
    <w:p>
      <w:pPr>
        <w:pStyle w:val="1126"/>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11.2</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1126"/>
              <w:jc w:val="lef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11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1126"/>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166"/>
              <w:jc w:val="center"/>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70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1126"/>
              <w:jc w:val="lef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1126"/>
              <w:jc w:val="lef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11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1126"/>
              <w:jc w:val="left"/>
              <w:rPr>
                <w:rFonts w:hint="eastAsia" w:ascii="宋体" w:hAnsi="宋体" w:cs="宋体"/>
                <w:color w:val="000000"/>
                <w:sz w:val="24"/>
                <w:highlight w:val="none"/>
                <w:u w:val="single"/>
              </w:rPr>
            </w:pPr>
            <w:r>
              <w:rPr>
                <w:rFonts w:hint="eastAsia" w:ascii="宋体" w:hAnsi="宋体"/>
                <w:color w:val="000000"/>
                <w:sz w:val="24"/>
                <w:highlight w:val="none"/>
              </w:rPr>
              <w:t xml:space="preserve">1</w:t>
            </w:r>
            <w:r>
              <w:rPr>
                <w:rFonts w:ascii="宋体" w:hAnsi="宋体"/>
                <w:color w:val="000000"/>
                <w:sz w:val="24"/>
                <w:highlight w:val="none"/>
              </w:rPr>
              <w:t xml:space="preserve">.收费标准：</w:t>
            </w:r>
            <w:r>
              <w:rPr>
                <w:rFonts w:hint="eastAsia" w:ascii="宋体" w:hAnsi="宋体" w:cs="宋体"/>
                <w:color w:val="000000"/>
                <w:sz w:val="24"/>
                <w:highlight w:val="none"/>
                <w:u w:val="single"/>
              </w:rPr>
              <w:t xml:space="preserve">中标人须按中标金额的0.8%计算并支付代理服务费，不足人民币3000元的，按人民币3000元收取</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126"/>
              <w:jc w:val="left"/>
              <w:rPr>
                <w:rFonts w:ascii="宋体" w:hAnsi="宋体"/>
                <w:color w:val="000000"/>
                <w:sz w:val="24"/>
                <w:highlight w:val="none"/>
                <w:u w:val="single"/>
              </w:rPr>
            </w:pPr>
            <w:r>
              <w:rPr>
                <w:rFonts w:hint="eastAsia" w:ascii="宋体" w:hAnsi="宋体"/>
                <w:color w:val="000000"/>
                <w:sz w:val="24"/>
                <w:highlight w:val="none"/>
              </w:rPr>
              <w:t xml:space="preserve">2.</w:t>
            </w:r>
            <w:r>
              <w:rPr>
                <w:rFonts w:ascii="宋体" w:hAnsi="宋体"/>
                <w:color w:val="000000"/>
                <w:sz w:val="24"/>
                <w:highlight w:val="none"/>
              </w:rPr>
              <w:t xml:space="preserve">缴纳时间：</w:t>
            </w:r>
            <w:r>
              <w:rPr>
                <w:rFonts w:hint="eastAsia" w:ascii="宋体" w:hAnsi="宋体"/>
                <w:color w:val="000000"/>
                <w:sz w:val="24"/>
                <w:highlight w:val="none"/>
                <w:u w:val="single"/>
              </w:rPr>
              <w:t xml:space="preserve">中标人应在领取中标通知书前将代理服务费付至采购代理机构。该费用含在投标报价中。中标人如果未按规定交纳代理服务费，将保留诉讼权利。</w:t>
            </w:r>
            <w:r>
              <w:rPr>
                <w:rFonts w:ascii="宋体" w:hAnsi="宋体"/>
                <w:color w:val="000000"/>
                <w:sz w:val="24"/>
                <w:highlight w:val="none"/>
                <w:u w:val="single"/>
              </w:rPr>
            </w:r>
            <w:r/>
          </w:p>
          <w:p>
            <w:pPr>
              <w:pStyle w:val="1126"/>
              <w:jc w:val="left"/>
              <w:rPr>
                <w:rFonts w:hint="eastAsia" w:ascii="宋体" w:hAnsi="宋体"/>
                <w:color w:val="000000"/>
                <w:sz w:val="24"/>
                <w:highlight w:val="none"/>
              </w:rPr>
            </w:pPr>
            <w:r>
              <w:rPr>
                <w:rFonts w:hint="eastAsia" w:ascii="宋体" w:hAnsi="宋体"/>
                <w:color w:val="000000"/>
                <w:sz w:val="24"/>
                <w:highlight w:val="none"/>
              </w:rPr>
              <w:t xml:space="preserve">收款单位：常州盈泰招标有限公司</w:t>
            </w:r>
            <w:r>
              <w:rPr>
                <w:rFonts w:hint="eastAsia" w:ascii="宋体" w:hAnsi="宋体"/>
                <w:color w:val="000000"/>
                <w:sz w:val="24"/>
                <w:highlight w:val="none"/>
              </w:rPr>
            </w:r>
            <w:r/>
          </w:p>
          <w:p>
            <w:pPr>
              <w:pStyle w:val="1126"/>
              <w:jc w:val="left"/>
              <w:rPr>
                <w:rFonts w:hint="eastAsia" w:ascii="宋体" w:hAnsi="宋体"/>
                <w:color w:val="000000"/>
                <w:sz w:val="24"/>
                <w:highlight w:val="none"/>
              </w:rPr>
            </w:pPr>
            <w:r>
              <w:rPr>
                <w:rFonts w:hint="eastAsia" w:ascii="宋体" w:hAnsi="宋体"/>
                <w:color w:val="000000"/>
                <w:sz w:val="24"/>
                <w:highlight w:val="none"/>
              </w:rPr>
              <w:t xml:space="preserve">开户银行：中国建设银行常州市延陵路支行</w:t>
            </w:r>
            <w:r>
              <w:rPr>
                <w:rFonts w:hint="eastAsia" w:ascii="宋体" w:hAnsi="宋体"/>
                <w:color w:val="000000"/>
                <w:sz w:val="24"/>
                <w:highlight w:val="none"/>
              </w:rPr>
            </w:r>
            <w:r/>
          </w:p>
          <w:p>
            <w:pPr>
              <w:pStyle w:val="1126"/>
              <w:jc w:val="left"/>
              <w:rPr>
                <w:rFonts w:ascii="宋体" w:hAnsi="宋体"/>
                <w:color w:val="000000"/>
                <w:sz w:val="24"/>
                <w:highlight w:val="none"/>
              </w:rPr>
            </w:pPr>
            <w:r>
              <w:rPr>
                <w:rFonts w:hint="eastAsia" w:ascii="宋体" w:hAnsi="宋体"/>
                <w:color w:val="000000"/>
                <w:sz w:val="24"/>
                <w:highlight w:val="none"/>
              </w:rPr>
              <w:t xml:space="preserve">银行账号：32050162853600001068</w:t>
            </w:r>
            <w:r>
              <w:rPr>
                <w:rFonts w:ascii="宋体" w:hAnsi="宋体"/>
                <w:color w:val="000000"/>
                <w:sz w:val="24"/>
                <w:highlight w:val="none"/>
              </w:rPr>
            </w:r>
            <w:r/>
          </w:p>
        </w:tc>
      </w:tr>
    </w:tbl>
    <w:p>
      <w:pPr>
        <w:pStyle w:val="1126"/>
        <w:jc w:val="both"/>
        <w:spacing w:line="360" w:lineRule="auto"/>
        <w:tabs>
          <w:tab w:val="left" w:pos="5580" w:leader="none"/>
        </w:tabs>
        <w:rPr>
          <w:rFonts w:ascii="宋体" w:hAnsi="宋体"/>
          <w:color w:val="000000"/>
          <w:sz w:val="24"/>
          <w:highlight w:val="none"/>
        </w:rPr>
        <w:sectPr>
          <w:footerReference w:type="default" r:id="rId21"/>
          <w:footerReference w:type="first" r:id="rId22"/>
          <w:footnotePr/>
          <w:endnotePr/>
          <w:type w:val="nextPage"/>
          <w:pgSz w:w="11907" w:h="16840" w:orient="portrait"/>
          <w:pgMar w:top="1418" w:right="1134" w:bottom="1418" w:left="1501" w:header="794" w:footer="851" w:gutter="0"/>
          <w:pgNumType w:start="1"/>
          <w:cols w:num="1" w:sep="0" w:space="1701" w:equalWidth="1"/>
          <w:docGrid w:linePitch="360"/>
          <w:titlePg/>
        </w:sectPr>
      </w:pPr>
      <w:r>
        <w:rPr>
          <w:rFonts w:ascii="宋体" w:hAnsi="宋体"/>
          <w:color w:val="000000"/>
          <w:sz w:val="24"/>
          <w:highlight w:val="none"/>
        </w:rPr>
      </w:r>
      <w:r/>
    </w:p>
    <w:p>
      <w:pPr>
        <w:pStyle w:val="1126"/>
        <w:jc w:val="center"/>
        <w:spacing w:before="240" w:after="240"/>
        <w:rPr>
          <w:rFonts w:ascii="宋体" w:hAnsi="宋体"/>
          <w:b/>
          <w:color w:val="000000"/>
          <w:sz w:val="28"/>
          <w:szCs w:val="28"/>
          <w:highlight w:val="none"/>
        </w:rPr>
      </w:pPr>
      <w:r/>
      <w:bookmarkStart w:id="78" w:name="_Toc127151517"/>
      <w:r/>
      <w:bookmarkStart w:id="79" w:name="_Toc305158859"/>
      <w:r/>
      <w:bookmarkStart w:id="80" w:name="_Toc305158785"/>
      <w:r/>
      <w:bookmarkStart w:id="81" w:name="_Toc195842882"/>
      <w:r/>
      <w:bookmarkStart w:id="82" w:name="_Toc226337213"/>
      <w:r/>
      <w:bookmarkStart w:id="83" w:name="_Toc353825542"/>
      <w:r/>
      <w:bookmarkStart w:id="84" w:name="_Toc264969207"/>
      <w:r/>
      <w:bookmarkStart w:id="85" w:name="_Toc353873662"/>
      <w:r/>
      <w:bookmarkStart w:id="86" w:name="_Toc226965790"/>
      <w:r/>
      <w:bookmarkStart w:id="87" w:name="_Toc142311019"/>
      <w:r/>
      <w:bookmarkStart w:id="88" w:name="_Toc150774722"/>
      <w:r/>
      <w:bookmarkStart w:id="89" w:name="_Toc265228355"/>
      <w:r/>
      <w:bookmarkStart w:id="90" w:name="_Toc150480755"/>
      <w:r/>
      <w:bookmarkStart w:id="91" w:name="_Toc353873932"/>
      <w:r>
        <w:rPr>
          <w:rFonts w:ascii="宋体" w:hAnsi="宋体"/>
          <w:b/>
          <w:color w:val="000000"/>
          <w:sz w:val="28"/>
          <w:szCs w:val="28"/>
          <w:highlight w:val="none"/>
        </w:rPr>
        <w:t xml:space="preserve">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b/>
          <w:color w:val="000000"/>
          <w:sz w:val="28"/>
          <w:szCs w:val="28"/>
          <w:highlight w:val="none"/>
        </w:rPr>
      </w:r>
      <w:r/>
    </w:p>
    <w:p>
      <w:pPr>
        <w:pStyle w:val="1128"/>
        <w:jc w:val="left"/>
        <w:spacing w:before="0" w:line="360" w:lineRule="auto"/>
        <w:tabs>
          <w:tab w:val="center" w:pos="4592" w:leader="none"/>
          <w:tab w:val="left" w:pos="7860" w:leader="none"/>
        </w:tabs>
        <w:rPr>
          <w:rFonts w:ascii="宋体" w:hAnsi="宋体" w:eastAsia="宋体"/>
          <w:color w:val="000000"/>
          <w:sz w:val="28"/>
          <w:highlight w:val="none"/>
        </w:rPr>
      </w:pPr>
      <w:r/>
      <w:bookmarkStart w:id="92" w:name="_Toc127151518"/>
      <w:r/>
      <w:bookmarkStart w:id="93" w:name="_Toc520356143"/>
      <w:r>
        <w:rPr>
          <w:rFonts w:ascii="宋体" w:hAnsi="宋体" w:eastAsia="宋体"/>
          <w:color w:val="000000"/>
          <w:sz w:val="28"/>
          <w:highlight w:val="none"/>
        </w:rPr>
        <w:tab/>
      </w:r>
      <w:bookmarkStart w:id="94" w:name="_Toc151190145"/>
      <w:r/>
      <w:bookmarkStart w:id="95" w:name="_Toc151193760"/>
      <w:r/>
      <w:bookmarkStart w:id="96" w:name="_Toc150774618"/>
      <w:r/>
      <w:bookmarkStart w:id="97" w:name="_Toc226965791"/>
      <w:r/>
      <w:bookmarkStart w:id="98" w:name="_Toc150509269"/>
      <w:r/>
      <w:bookmarkStart w:id="99" w:name="_Toc226965708"/>
      <w:r/>
      <w:bookmarkStart w:id="100" w:name="_Toc226309762"/>
      <w:r/>
      <w:bookmarkStart w:id="101" w:name="_Toc151193616"/>
      <w:r/>
      <w:bookmarkStart w:id="102" w:name="_Toc150480756"/>
      <w:r/>
      <w:bookmarkStart w:id="103" w:name="_Toc151193688"/>
      <w:r/>
      <w:bookmarkStart w:id="104" w:name="_Toc150774723"/>
      <w:r/>
      <w:bookmarkStart w:id="105" w:name="_Toc151193906"/>
      <w:r/>
      <w:bookmarkStart w:id="106" w:name="_Toc305158786"/>
      <w:r/>
      <w:bookmarkStart w:id="107" w:name="_Toc265228356"/>
      <w:r/>
      <w:bookmarkStart w:id="108" w:name="_Toc264969208"/>
      <w:r/>
      <w:bookmarkStart w:id="109" w:name="_Toc151193832"/>
      <w:r/>
      <w:bookmarkStart w:id="110" w:name="_Toc195842883"/>
      <w:r/>
      <w:bookmarkStart w:id="111" w:name="_Toc226337214"/>
      <w:r/>
      <w:bookmarkStart w:id="112" w:name="_Toc142311020"/>
      <w:r/>
      <w:bookmarkStart w:id="113" w:name="_Toc305158860"/>
      <w:r>
        <w:rPr>
          <w:rFonts w:ascii="宋体" w:hAnsi="宋体" w:eastAsia="宋体"/>
          <w:color w:val="000000"/>
          <w:sz w:val="28"/>
          <w:highlight w:val="none"/>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宋体" w:hAnsi="宋体" w:eastAsia="宋体"/>
          <w:color w:val="000000"/>
          <w:sz w:val="28"/>
          <w:highlight w:val="none"/>
        </w:rPr>
        <w:tab/>
      </w:r>
      <w:r>
        <w:rPr>
          <w:rFonts w:ascii="宋体" w:hAnsi="宋体" w:eastAsia="宋体"/>
          <w:color w:val="000000"/>
          <w:sz w:val="28"/>
          <w:highlight w:val="none"/>
        </w:rPr>
      </w:r>
      <w:r/>
    </w:p>
    <w:p>
      <w:pPr>
        <w:pStyle w:val="1126"/>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4" w:name="_Toc305158861"/>
      <w:r/>
      <w:bookmarkStart w:id="115" w:name="_Toc264969209"/>
      <w:r/>
      <w:bookmarkStart w:id="116" w:name="_Toc265228357"/>
      <w:r/>
      <w:bookmarkStart w:id="117" w:name="_Toc305158787"/>
      <w:r>
        <w:rPr>
          <w:rFonts w:ascii="宋体" w:hAnsi="宋体"/>
          <w:color w:val="000000"/>
          <w:sz w:val="24"/>
          <w:highlight w:val="none"/>
        </w:rPr>
        <w:t xml:space="preserve">采购人、采购代理机构、投标人</w:t>
      </w:r>
      <w:bookmarkEnd w:id="114"/>
      <w:r/>
      <w:bookmarkEnd w:id="115"/>
      <w:r/>
      <w:bookmarkEnd w:id="116"/>
      <w:r/>
      <w:bookmarkEnd w:id="117"/>
      <w:r>
        <w:rPr>
          <w:rFonts w:hint="eastAsia" w:ascii="宋体" w:hAnsi="宋体"/>
          <w:color w:val="000000"/>
          <w:sz w:val="24"/>
          <w:highlight w:val="none"/>
        </w:rPr>
        <w:t xml:space="preserve">、联合体</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投标人（也称</w:t>
      </w:r>
      <w:r>
        <w:rPr>
          <w:rFonts w:hint="eastAsia" w:ascii="宋体" w:hAnsi="宋体"/>
          <w:color w:val="000000"/>
          <w:sz w:val="24"/>
          <w:highlight w:val="none"/>
        </w:rPr>
        <w:t xml:space="preserve">“供应商”、“</w:t>
      </w:r>
      <w:r>
        <w:rPr>
          <w:rFonts w:ascii="宋体" w:hAnsi="宋体"/>
          <w:color w:val="000000"/>
          <w:sz w:val="24"/>
          <w:highlight w:val="none"/>
        </w:rPr>
        <w:t xml:space="preserve">申请人</w:t>
      </w:r>
      <w:r>
        <w:rPr>
          <w:rFonts w:hint="eastAsia" w:ascii="宋体" w:hAnsi="宋体"/>
          <w:color w:val="000000"/>
          <w:sz w:val="24"/>
          <w:highlight w:val="none"/>
        </w:rPr>
        <w:t xml:space="preserve">”</w:t>
      </w:r>
      <w:r>
        <w:rPr>
          <w:rFonts w:ascii="宋体" w:hAnsi="宋体"/>
          <w:color w:val="000000"/>
          <w:sz w:val="24"/>
          <w:highlight w:val="none"/>
        </w:rPr>
        <w:t xml:space="preserve">）：指向采购人提供货物、工程或者服务的法人、其他组织或者自然人。</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联合体：指两个以上的自然人、法人或者其他组织组成一个联合体，以一个供应商的身份共同参加政府采购。</w:t>
      </w:r>
      <w:r>
        <w:rPr>
          <w:rFonts w:ascii="宋体" w:hAnsi="宋体"/>
          <w:color w:val="000000"/>
          <w:sz w:val="24"/>
          <w:highlight w:val="none"/>
        </w:rPr>
      </w:r>
      <w:r/>
    </w:p>
    <w:p>
      <w:pPr>
        <w:pStyle w:val="1126"/>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8" w:name="_Toc127161434"/>
      <w:r/>
      <w:bookmarkStart w:id="119" w:name="_Toc164608789"/>
      <w:r/>
      <w:bookmarkStart w:id="120" w:name="_Toc164608634"/>
      <w:r/>
      <w:bookmarkStart w:id="121" w:name="_Toc264969210"/>
      <w:r/>
      <w:bookmarkStart w:id="122" w:name="_Toc164351614"/>
      <w:r/>
      <w:bookmarkStart w:id="123" w:name="_Toc305158788"/>
      <w:r/>
      <w:bookmarkStart w:id="124" w:name="_Toc164229215"/>
      <w:r/>
      <w:bookmarkStart w:id="125" w:name="_Toc151193690"/>
      <w:r/>
      <w:bookmarkStart w:id="126" w:name="_Toc151193908"/>
      <w:r/>
      <w:bookmarkStart w:id="127" w:name="_Toc149720813"/>
      <w:r/>
      <w:bookmarkStart w:id="128" w:name="_Toc151193618"/>
      <w:r/>
      <w:bookmarkStart w:id="129" w:name="_Toc195842885"/>
      <w:r/>
      <w:bookmarkStart w:id="130" w:name="_Toc150480758"/>
      <w:r/>
      <w:bookmarkStart w:id="131" w:name="_Toc226965793"/>
      <w:r/>
      <w:bookmarkStart w:id="132" w:name="_Toc151193834"/>
      <w:r/>
      <w:bookmarkStart w:id="133" w:name="_Toc226965710"/>
      <w:r/>
      <w:bookmarkStart w:id="134" w:name="_Toc305158862"/>
      <w:r/>
      <w:bookmarkStart w:id="135" w:name="_Toc151193762"/>
      <w:r/>
      <w:bookmarkStart w:id="136" w:name="_Toc127151520"/>
      <w:r/>
      <w:bookmarkStart w:id="137" w:name="_Toc150774725"/>
      <w:r/>
      <w:bookmarkStart w:id="138" w:name="_Toc127151721"/>
      <w:r/>
      <w:bookmarkStart w:id="139" w:name="_Toc142311022"/>
      <w:r/>
      <w:bookmarkStart w:id="140" w:name="_Toc150774620"/>
      <w:r/>
      <w:bookmarkStart w:id="141" w:name="_Toc151190147"/>
      <w:r/>
      <w:bookmarkStart w:id="142" w:name="_Toc226337216"/>
      <w:r/>
      <w:bookmarkStart w:id="143" w:name="_Toc226309764"/>
      <w:r/>
      <w:bookmarkStart w:id="144" w:name="_Toc265228358"/>
      <w:r/>
      <w:bookmarkStart w:id="145" w:name="_Toc164229361"/>
      <w:r/>
      <w:bookmarkStart w:id="146" w:name="_Toc150509271"/>
      <w:r>
        <w:rPr>
          <w:rFonts w:ascii="宋体" w:hAnsi="宋体"/>
          <w:color w:val="000000"/>
          <w:sz w:val="24"/>
          <w:highlight w:val="none"/>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ascii="宋体" w:hAnsi="宋体"/>
          <w:color w:val="000000"/>
          <w:sz w:val="24"/>
          <w:highlight w:val="none"/>
        </w:rPr>
        <w:t xml:space="preserve">、项目属性、科研仪器设备采购、核心产品</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资金来源为财政性资金和/或本项目采购中无法与财政性资金分割的非财政性资金。</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项目属性见《投标人须知资料表》。</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是否属于科研仪器设备采购见《投标人须知资料表》。</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核心产品见《投标人须知资料表》。</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现场考察、开标前答疑会</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8"/>
          <w:highlight w:val="none"/>
        </w:rPr>
      </w:pPr>
      <w:r>
        <w:rPr>
          <w:rFonts w:ascii="宋体" w:hAnsi="宋体"/>
          <w:color w:val="000000"/>
          <w:sz w:val="24"/>
          <w:highlight w:val="none"/>
        </w:rPr>
        <w:t xml:space="preserve">若《投标人须知资料表》中规定了组织现场考察、召开开标前答疑会，则投标人应按要求在规定的时间和地点参加。</w:t>
      </w:r>
      <w:bookmarkStart w:id="147" w:name="_Toc264969212"/>
      <w:r/>
      <w:bookmarkStart w:id="148" w:name="_Toc151193764"/>
      <w:r/>
      <w:bookmarkStart w:id="149" w:name="_Toc150509273"/>
      <w:r/>
      <w:bookmarkStart w:id="150" w:name="_Toc226965712"/>
      <w:r/>
      <w:bookmarkStart w:id="151" w:name="_Toc226965795"/>
      <w:r/>
      <w:bookmarkStart w:id="152" w:name="_Toc127151522"/>
      <w:r/>
      <w:bookmarkStart w:id="153" w:name="_Toc151190149"/>
      <w:r/>
      <w:bookmarkStart w:id="154" w:name="_Toc142311024"/>
      <w:r/>
      <w:bookmarkStart w:id="155" w:name="_Toc265228360"/>
      <w:r/>
      <w:bookmarkStart w:id="156" w:name="_Toc520356146"/>
      <w:r/>
      <w:bookmarkStart w:id="157" w:name="_Toc151193692"/>
      <w:r/>
      <w:bookmarkStart w:id="158" w:name="_Toc195842887"/>
      <w:r/>
      <w:bookmarkStart w:id="159" w:name="_Toc305158790"/>
      <w:r/>
      <w:bookmarkStart w:id="160" w:name="_Toc305158864"/>
      <w:r/>
      <w:bookmarkStart w:id="161" w:name="_Toc226309766"/>
      <w:r/>
      <w:bookmarkStart w:id="162" w:name="_Toc150774622"/>
      <w:r/>
      <w:bookmarkStart w:id="163" w:name="_Toc151193910"/>
      <w:r/>
      <w:bookmarkStart w:id="164" w:name="_Toc150774727"/>
      <w:r/>
      <w:bookmarkStart w:id="165" w:name="_Toc226337218"/>
      <w:r/>
      <w:bookmarkStart w:id="166" w:name="_Toc150480760"/>
      <w:r/>
      <w:bookmarkStart w:id="167" w:name="_Toc151193836"/>
      <w:r/>
      <w:bookmarkStart w:id="168" w:name="_Toc151193620"/>
      <w:r>
        <w:rPr>
          <w:rFonts w:ascii="宋体" w:hAnsi="宋体"/>
          <w:color w:val="000000"/>
          <w:sz w:val="28"/>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样品</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样品的评审方法以及评审标准等内容见第四章《评标方法和评标标准》。</w:t>
      </w:r>
      <w:r>
        <w:rPr>
          <w:rFonts w:ascii="宋体" w:hAnsi="宋体"/>
          <w:color w:val="000000"/>
          <w:sz w:val="24"/>
          <w:highlight w:val="none"/>
        </w:rPr>
      </w:r>
      <w:r/>
    </w:p>
    <w:p>
      <w:pPr>
        <w:pStyle w:val="1126"/>
        <w:numPr>
          <w:ilvl w:val="0"/>
          <w:numId w:val="8"/>
        </w:numPr>
        <w:ind w:left="357" w:hanging="357"/>
        <w:spacing w:line="360" w:lineRule="auto"/>
        <w:tabs>
          <w:tab w:val="left" w:pos="360" w:leader="none"/>
        </w:tabs>
        <w:rPr>
          <w:rFonts w:ascii="宋体" w:hAnsi="宋体"/>
          <w:color w:val="000000"/>
          <w:sz w:val="24"/>
          <w:highlight w:val="none"/>
        </w:rPr>
        <w:outlineLvl w:val="1"/>
      </w:pPr>
      <w:r>
        <w:rPr>
          <w:rFonts w:ascii="宋体" w:hAnsi="宋体"/>
          <w:color w:val="000000"/>
          <w:sz w:val="24"/>
          <w:highlight w:val="none"/>
        </w:rPr>
        <w:t xml:space="preserve">政府采购政策（包括但不限于下列具体政策要求）</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1126"/>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中小企业、监狱企业及残疾人福利性单位</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中小企业定义：</w:t>
      </w:r>
      <w:r>
        <w:rPr>
          <w:rFonts w:ascii="宋体" w:hAnsi="宋体"/>
          <w:color w:val="000000"/>
          <w:sz w:val="24"/>
          <w:highlight w:val="none"/>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210"/>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210"/>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210"/>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中小企业是</w:t>
      </w:r>
      <w:r>
        <w:rPr>
          <w:rFonts w:ascii="宋体" w:hAnsi="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供应商提供的货物、工程或者服务符合下列情形的，享受中小企业扶持政策：</w:t>
      </w:r>
      <w:r>
        <w:rPr>
          <w:rFonts w:ascii="宋体" w:hAnsi="宋体"/>
          <w:color w:val="000000"/>
          <w:sz w:val="24"/>
          <w:highlight w:val="none"/>
        </w:rPr>
      </w:r>
      <w:r/>
    </w:p>
    <w:p>
      <w:pPr>
        <w:pStyle w:val="1126"/>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（1）在货物采购项目中，货物由中小企业制造，即货物由中小企业生产且使用该中小企业商号或者注册商标；</w:t>
      </w:r>
      <w:r>
        <w:rPr>
          <w:rFonts w:ascii="宋体" w:hAnsi="宋体"/>
          <w:color w:val="000000"/>
          <w:sz w:val="24"/>
          <w:highlight w:val="none"/>
        </w:rPr>
      </w:r>
      <w:r/>
    </w:p>
    <w:p>
      <w:pPr>
        <w:pStyle w:val="1126"/>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（2）在工程采购项目中，工程由中小企业承建，即工程施工单位为中小企业；</w:t>
      </w:r>
      <w:r>
        <w:rPr>
          <w:rFonts w:ascii="宋体" w:hAnsi="宋体"/>
          <w:color w:val="000000"/>
          <w:sz w:val="24"/>
          <w:highlight w:val="none"/>
        </w:rPr>
      </w:r>
      <w:r/>
    </w:p>
    <w:p>
      <w:pPr>
        <w:pStyle w:val="1126"/>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（3）在服务采购项目中，服务由中小企业承接，即提供服务的人员为中小企业依照《中华人民共和国劳动</w:t>
      </w:r>
      <w:r>
        <w:rPr>
          <w:rFonts w:hint="eastAsia" w:ascii="宋体" w:hAnsi="宋体"/>
          <w:color w:val="000000"/>
          <w:sz w:val="24"/>
          <w:highlight w:val="none"/>
        </w:rPr>
        <w:t xml:space="preserve">合同法</w:t>
      </w:r>
      <w:r>
        <w:rPr>
          <w:rFonts w:ascii="宋体" w:hAnsi="宋体"/>
          <w:color w:val="000000"/>
          <w:sz w:val="24"/>
          <w:highlight w:val="none"/>
        </w:rPr>
        <w:t xml:space="preserve">》订立劳动合同的从业人员。</w:t>
      </w:r>
      <w:r>
        <w:rPr>
          <w:rFonts w:ascii="宋体" w:hAnsi="宋体"/>
          <w:color w:val="000000"/>
          <w:sz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在货物采购项目中，供应商提供的货物既有中小企业制造货物，也有大型企业制造货物的，不享受中小企业扶持政策。</w:t>
      </w:r>
      <w:r>
        <w:rPr>
          <w:rFonts w:ascii="宋体" w:hAnsi="宋体"/>
          <w:color w:val="000000"/>
          <w:sz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残疾人福利单位定义：享受政府采购支持政策的残疾人福利性单位应当同时满足以下条件：</w:t>
      </w:r>
      <w:r>
        <w:rPr>
          <w:rFonts w:ascii="宋体" w:hAnsi="宋体"/>
          <w:color w:val="000000"/>
          <w:sz w:val="24"/>
          <w:highlight w:val="none"/>
        </w:rPr>
      </w:r>
      <w:r/>
    </w:p>
    <w:p>
      <w:pPr>
        <w:pStyle w:val="1210"/>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210"/>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安置的残疾人占本单位在职职工人数的比例不低于25%（含25%），并且安置的残疾人人数不少于10 人（含10 人）；</w:t>
      </w:r>
      <w:r>
        <w:rPr>
          <w:rFonts w:ascii="宋体" w:hAnsi="宋体"/>
          <w:color w:val="000000"/>
          <w:sz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依法与安置的每位残疾人签订了一年以上（含一年）的劳动合同或服务协议；</w:t>
      </w:r>
      <w:r>
        <w:rPr>
          <w:rFonts w:ascii="宋体" w:hAnsi="宋体"/>
          <w:color w:val="000000"/>
          <w:sz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为安置的每位残疾人按月足额缴纳了基本养老保险、基本医疗保险、失业保险、工伤保险和生育保险等社会保险费；</w:t>
      </w:r>
      <w:r>
        <w:rPr>
          <w:rFonts w:ascii="宋体" w:hAnsi="宋体"/>
          <w:color w:val="000000"/>
          <w:sz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highlight w:val="none"/>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本项目是否专门面向中小企业预留采购份额见第一章《投标邀请》。</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采购标的对应的中小企业划分标准所属行业见《投标人须知资料表》。</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小微企业价格评审优惠的政策调整：见第四章《评标方法和评标标准》。</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政府采购节能产品、环境标志产品</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126"/>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highlight w:val="none"/>
        </w:rPr>
      </w:r>
      <w:r/>
    </w:p>
    <w:p>
      <w:pPr>
        <w:pStyle w:val="1126"/>
        <w:numPr>
          <w:ilvl w:val="2"/>
          <w:numId w:val="8"/>
        </w:numPr>
        <w:spacing w:line="360" w:lineRule="auto"/>
        <w:tabs>
          <w:tab w:val="left" w:pos="1980"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支持乡村产业振兴管理</w:t>
      </w:r>
      <w:r>
        <w:rPr>
          <w:rFonts w:ascii="宋体" w:hAnsi="宋体"/>
          <w:color w:val="000000"/>
          <w:sz w:val="24"/>
          <w:highlight w:val="none"/>
        </w:rPr>
      </w:r>
      <w:r/>
    </w:p>
    <w:p>
      <w:pPr>
        <w:pStyle w:val="1126"/>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正版软件</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政府采购创新产品政策</w:t>
      </w:r>
      <w:r>
        <w:rPr>
          <w:rFonts w:hint="eastAsia" w:ascii="宋体" w:hAnsi="宋体"/>
          <w:color w:val="000000"/>
          <w:sz w:val="24"/>
          <w:highlight w:val="none"/>
        </w:rPr>
      </w:r>
      <w:r/>
    </w:p>
    <w:p>
      <w:pPr>
        <w:pStyle w:val="1126"/>
        <w:numPr>
          <w:ilvl w:val="2"/>
          <w:numId w:val="8"/>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4"/>
          <w:highlight w:val="none"/>
        </w:rPr>
      </w:r>
      <w:r/>
    </w:p>
    <w:p>
      <w:pPr>
        <w:pStyle w:val="1126"/>
        <w:ind w:firstLine="120"/>
        <w:spacing w:line="480" w:lineRule="exact"/>
        <w:rPr>
          <w:color w:val="000000"/>
          <w:sz w:val="24"/>
          <w:highlight w:val="none"/>
        </w:rPr>
      </w:pPr>
      <w:r>
        <w:rPr>
          <w:rFonts w:hint="eastAsia"/>
          <w:color w:val="000000"/>
          <w:sz w:val="24"/>
          <w:highlight w:val="none"/>
        </w:rPr>
        <w:t xml:space="preserve"> 5.7     绿色采购政策</w:t>
      </w:r>
      <w:r>
        <w:rPr>
          <w:color w:val="000000"/>
          <w:sz w:val="24"/>
          <w:highlight w:val="none"/>
        </w:rPr>
      </w:r>
      <w:r/>
    </w:p>
    <w:p>
      <w:pPr>
        <w:pStyle w:val="1126"/>
        <w:ind w:firstLine="1200"/>
        <w:spacing w:line="480" w:lineRule="exact"/>
        <w:rPr>
          <w:rFonts w:ascii="宋体" w:hAnsi="宋体"/>
          <w:bCs/>
          <w:color w:val="000000"/>
          <w:sz w:val="24"/>
          <w:highlight w:val="none"/>
        </w:rPr>
      </w:pPr>
      <w:r>
        <w:rPr>
          <w:rFonts w:hint="eastAsia"/>
          <w:color w:val="000000"/>
          <w:sz w:val="24"/>
          <w:highlight w:val="none"/>
        </w:rPr>
        <w:t xml:space="preserve">5.7.1  </w:t>
      </w:r>
      <w:r>
        <w:rPr>
          <w:rFonts w:hint="eastAsia" w:ascii="宋体" w:hAnsi="宋体"/>
          <w:bCs/>
          <w:color w:val="000000"/>
          <w:sz w:val="24"/>
          <w:highlight w:val="none"/>
        </w:rPr>
        <w:t xml:space="preserve">绿色数据中心政策 </w:t>
      </w:r>
      <w:r>
        <w:rPr>
          <w:rFonts w:ascii="宋体" w:hAnsi="宋体"/>
          <w:bCs/>
          <w:color w:val="000000"/>
          <w:sz w:val="24"/>
          <w:highlight w:val="none"/>
        </w:rPr>
      </w:r>
      <w:r/>
    </w:p>
    <w:p>
      <w:pPr>
        <w:pStyle w:val="1126"/>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1126"/>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5.7.2 推广应用绿色建材</w:t>
      </w:r>
      <w:r>
        <w:rPr>
          <w:rFonts w:ascii="宋体" w:hAnsi="宋体"/>
          <w:color w:val="000000"/>
          <w:sz w:val="24"/>
          <w:highlight w:val="none"/>
        </w:rPr>
      </w:r>
      <w:r/>
    </w:p>
    <w:p>
      <w:pPr>
        <w:pStyle w:val="1126"/>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1126"/>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5.7.3 优先使用低挥发性有机化合物产品</w:t>
      </w:r>
      <w:r>
        <w:rPr>
          <w:rFonts w:ascii="宋体" w:hAnsi="宋体"/>
          <w:color w:val="000000"/>
          <w:sz w:val="24"/>
          <w:highlight w:val="none"/>
        </w:rPr>
      </w:r>
      <w:r/>
    </w:p>
    <w:p>
      <w:pPr>
        <w:pStyle w:val="1126"/>
        <w:ind w:left="1079" w:hanging="600"/>
        <w:spacing w:line="480" w:lineRule="exact"/>
        <w:rPr>
          <w:rFonts w:hint="eastAsia"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投标费用</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olor w:val="000000"/>
          <w:sz w:val="24"/>
          <w:highlight w:val="none"/>
        </w:rPr>
      </w:r>
      <w:r/>
    </w:p>
    <w:p>
      <w:pPr>
        <w:pStyle w:val="1126"/>
        <w:ind w:left="1080"/>
        <w:spacing w:line="360" w:lineRule="auto"/>
        <w:tabs>
          <w:tab w:val="left" w:pos="1080" w:leader="none"/>
        </w:tabs>
        <w:rPr>
          <w:rFonts w:ascii="宋体" w:hAnsi="宋体"/>
          <w:color w:val="000000"/>
          <w:sz w:val="28"/>
          <w:highlight w:val="none"/>
        </w:rPr>
      </w:pPr>
      <w:r/>
      <w:bookmarkStart w:id="169" w:name="_1.8_计量单位"/>
      <w:r/>
      <w:bookmarkEnd w:id="169"/>
      <w:r>
        <w:rPr>
          <w:rFonts w:ascii="宋体" w:hAnsi="宋体"/>
          <w:color w:val="000000"/>
          <w:sz w:val="28"/>
          <w:highlight w:val="none"/>
        </w:rPr>
      </w:r>
      <w:r/>
    </w:p>
    <w:p>
      <w:pPr>
        <w:pStyle w:val="1128"/>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ascii="宋体" w:hAnsi="宋体" w:eastAsia="宋体"/>
          <w:color w:val="000000"/>
          <w:sz w:val="28"/>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170" w:name="_Toc164229364"/>
      <w:r/>
      <w:bookmarkStart w:id="171" w:name="_Toc151193837"/>
      <w:r/>
      <w:bookmarkStart w:id="172" w:name="_Toc164351617"/>
      <w:r/>
      <w:bookmarkStart w:id="173" w:name="_Toc151193765"/>
      <w:r/>
      <w:bookmarkStart w:id="174" w:name="_Toc127151724"/>
      <w:r/>
      <w:bookmarkStart w:id="175" w:name="_Toc151193911"/>
      <w:r/>
      <w:bookmarkStart w:id="176" w:name="_Toc164608792"/>
      <w:r/>
      <w:bookmarkStart w:id="177" w:name="_Toc149720816"/>
      <w:r/>
      <w:bookmarkStart w:id="178" w:name="_Toc195842888"/>
      <w:r/>
      <w:bookmarkStart w:id="179" w:name="_Toc305158865"/>
      <w:r/>
      <w:bookmarkStart w:id="180" w:name="_Toc151193621"/>
      <w:r/>
      <w:bookmarkStart w:id="181" w:name="_Toc150509274"/>
      <w:r/>
      <w:bookmarkStart w:id="182" w:name="_Toc150480761"/>
      <w:r/>
      <w:bookmarkStart w:id="183" w:name="_Toc151190150"/>
      <w:r/>
      <w:bookmarkStart w:id="184" w:name="_Toc226337219"/>
      <w:r/>
      <w:bookmarkStart w:id="185" w:name="_Toc127161437"/>
      <w:r/>
      <w:bookmarkStart w:id="186" w:name="_Toc164608637"/>
      <w:r/>
      <w:bookmarkStart w:id="187" w:name="_Toc164229218"/>
      <w:r/>
      <w:bookmarkStart w:id="188" w:name="_Toc265228361"/>
      <w:r/>
      <w:bookmarkStart w:id="189" w:name="_Toc226309767"/>
      <w:r/>
      <w:bookmarkStart w:id="190" w:name="_Toc150774728"/>
      <w:r/>
      <w:bookmarkStart w:id="191" w:name="_Toc520356147"/>
      <w:r/>
      <w:bookmarkStart w:id="192" w:name="_Toc264969213"/>
      <w:r/>
      <w:bookmarkStart w:id="193" w:name="_Toc305158791"/>
      <w:r/>
      <w:bookmarkStart w:id="194" w:name="_Toc127151523"/>
      <w:r/>
      <w:bookmarkStart w:id="195" w:name="_Toc142311025"/>
      <w:r/>
      <w:bookmarkStart w:id="196" w:name="_Toc151193693"/>
      <w:r/>
      <w:bookmarkStart w:id="197" w:name="_Toc150774623"/>
      <w:r/>
      <w:bookmarkStart w:id="198" w:name="_Toc226965713"/>
      <w:r/>
      <w:bookmarkStart w:id="199" w:name="_Toc226965796"/>
      <w:r>
        <w:rPr>
          <w:rFonts w:ascii="宋体" w:hAnsi="宋体"/>
          <w:color w:val="000000"/>
          <w:sz w:val="24"/>
          <w:highlight w:val="none"/>
        </w:rPr>
        <w:t xml:space="preserve">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ascii="宋体" w:hAnsi="宋体"/>
          <w:color w:val="000000"/>
          <w:sz w:val="24"/>
          <w:highlight w:val="none"/>
        </w:rPr>
        <w:t xml:space="preserve">成</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招标文件包括以下部分：</w:t>
      </w:r>
      <w:r>
        <w:rPr>
          <w:rFonts w:ascii="宋体" w:hAnsi="宋体"/>
          <w:color w:val="000000"/>
          <w:sz w:val="24"/>
          <w:highlight w:val="none"/>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投标邀请</w:t>
      </w:r>
      <w:r>
        <w:rPr>
          <w:rFonts w:ascii="宋体" w:hAnsi="宋体"/>
          <w:color w:val="000000"/>
          <w:sz w:val="24"/>
          <w:highlight w:val="none"/>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投标人须知</w:t>
      </w:r>
      <w:r>
        <w:rPr>
          <w:rFonts w:ascii="宋体" w:hAnsi="宋体"/>
          <w:color w:val="000000"/>
          <w:sz w:val="24"/>
          <w:highlight w:val="none"/>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资格审查</w:t>
      </w:r>
      <w:r>
        <w:rPr>
          <w:rFonts w:ascii="宋体" w:hAnsi="宋体"/>
          <w:color w:val="000000"/>
          <w:sz w:val="24"/>
          <w:highlight w:val="none"/>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采购需求</w:t>
      </w:r>
      <w:r>
        <w:rPr>
          <w:rFonts w:ascii="宋体" w:hAnsi="宋体"/>
          <w:color w:val="000000"/>
          <w:sz w:val="24"/>
          <w:highlight w:val="none"/>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拟签订的合同文本</w:t>
      </w:r>
      <w:r>
        <w:rPr>
          <w:rFonts w:ascii="宋体" w:hAnsi="宋体"/>
          <w:color w:val="000000"/>
          <w:sz w:val="24"/>
          <w:highlight w:val="none"/>
        </w:rPr>
      </w:r>
      <w:r/>
    </w:p>
    <w:p>
      <w:pPr>
        <w:pStyle w:val="1126"/>
        <w:numPr>
          <w:ilvl w:val="0"/>
          <w:numId w:val="10"/>
        </w:numPr>
        <w:ind w:left="1440" w:firstLine="5"/>
        <w:spacing w:line="360" w:lineRule="auto"/>
        <w:tabs>
          <w:tab w:val="left" w:pos="1980" w:leader="none"/>
          <w:tab w:val="left" w:pos="2520" w:leader="none"/>
          <w:tab w:val="left" w:pos="4941" w:leader="none"/>
        </w:tabs>
        <w:rPr>
          <w:rFonts w:hint="eastAsia" w:ascii="宋体" w:hAnsi="宋体"/>
          <w:color w:val="000000"/>
          <w:sz w:val="24"/>
          <w:highlight w:val="none"/>
        </w:rPr>
      </w:pPr>
      <w:r>
        <w:rPr>
          <w:rFonts w:ascii="宋体" w:hAnsi="宋体"/>
          <w:color w:val="000000"/>
          <w:sz w:val="24"/>
          <w:highlight w:val="none"/>
        </w:rPr>
        <w:t xml:space="preserve">投标文件格式</w:t>
      </w:r>
      <w:r>
        <w:rPr>
          <w:rFonts w:hint="eastAsia"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126"/>
        <w:numPr>
          <w:ilvl w:val="0"/>
          <w:numId w:val="8"/>
        </w:numPr>
        <w:ind w:left="357" w:hanging="357"/>
        <w:spacing w:line="360" w:lineRule="auto"/>
        <w:tabs>
          <w:tab w:val="left" w:pos="900" w:leader="none"/>
          <w:tab w:val="left" w:pos="1080" w:leader="none"/>
          <w:tab w:val="left" w:pos="2014" w:leader="none"/>
        </w:tabs>
        <w:rPr>
          <w:rFonts w:ascii="宋体" w:hAnsi="宋体"/>
          <w:color w:val="000000"/>
          <w:sz w:val="24"/>
          <w:highlight w:val="none"/>
        </w:rPr>
        <w:outlineLvl w:val="1"/>
      </w:pPr>
      <w:r>
        <w:rPr>
          <w:rFonts w:ascii="宋体" w:hAnsi="宋体"/>
          <w:color w:val="000000"/>
          <w:sz w:val="24"/>
          <w:highlight w:val="none"/>
        </w:rPr>
        <w:t xml:space="preserve">对招标文件的澄清或修改</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采购人或采购代理机构对已发出的招标文件进行必要澄清或者修改的，将在原公告发布媒体上以</w:t>
      </w:r>
      <w:r>
        <w:rPr>
          <w:rFonts w:hint="eastAsia" w:ascii="宋体" w:hAnsi="宋体"/>
          <w:color w:val="000000"/>
          <w:sz w:val="24"/>
          <w:highlight w:val="none"/>
        </w:rPr>
        <w:t xml:space="preserve">发布</w:t>
      </w:r>
      <w:r>
        <w:rPr>
          <w:rFonts w:ascii="宋体" w:hAnsi="宋体"/>
          <w:color w:val="000000"/>
          <w:sz w:val="24"/>
          <w:highlight w:val="none"/>
        </w:rPr>
        <w:t xml:space="preserve">更正公告</w:t>
      </w:r>
      <w:r>
        <w:rPr>
          <w:rFonts w:hint="eastAsia" w:ascii="宋体" w:hAnsi="宋体"/>
          <w:color w:val="000000"/>
          <w:sz w:val="24"/>
          <w:highlight w:val="none"/>
        </w:rPr>
        <w:t xml:space="preserve">的</w:t>
      </w:r>
      <w:r>
        <w:rPr>
          <w:rFonts w:ascii="宋体" w:hAnsi="宋体"/>
          <w:color w:val="000000"/>
          <w:sz w:val="24"/>
          <w:highlight w:val="none"/>
        </w:rPr>
        <w:t xml:space="preserve">形式通知所有获取招标文件的潜在投标人。</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olor w:val="000000"/>
          <w:sz w:val="24"/>
          <w:highlight w:val="none"/>
        </w:rPr>
      </w:r>
      <w:r/>
    </w:p>
    <w:p>
      <w:pPr>
        <w:pStyle w:val="1126"/>
        <w:ind w:left="1080"/>
        <w:spacing w:line="360" w:lineRule="auto"/>
        <w:tabs>
          <w:tab w:val="left" w:pos="1080" w:leader="none"/>
          <w:tab w:val="left" w:pos="1561" w:leader="none"/>
        </w:tabs>
        <w:rPr>
          <w:rFonts w:ascii="宋体" w:hAnsi="宋体"/>
          <w:color w:val="000000"/>
          <w:sz w:val="28"/>
          <w:highlight w:val="none"/>
        </w:rPr>
      </w:pPr>
      <w:r/>
      <w:bookmarkStart w:id="200" w:name="_Toc226309770"/>
      <w:r/>
      <w:bookmarkStart w:id="201" w:name="_Toc195842891"/>
      <w:r/>
      <w:bookmarkStart w:id="202" w:name="_Toc150480764"/>
      <w:r/>
      <w:bookmarkStart w:id="203" w:name="_Toc127151526"/>
      <w:r/>
      <w:bookmarkStart w:id="204" w:name="_Toc226965799"/>
      <w:r/>
      <w:bookmarkStart w:id="205" w:name="_Toc226337222"/>
      <w:r/>
      <w:bookmarkStart w:id="206" w:name="_Toc151193624"/>
      <w:r/>
      <w:bookmarkStart w:id="207" w:name="_Toc305158868"/>
      <w:r/>
      <w:bookmarkStart w:id="208" w:name="_Toc150774731"/>
      <w:r/>
      <w:bookmarkStart w:id="209" w:name="_Toc151193696"/>
      <w:r/>
      <w:bookmarkStart w:id="210" w:name="_Toc151193768"/>
      <w:r/>
      <w:bookmarkStart w:id="211" w:name="_Toc226965716"/>
      <w:r/>
      <w:bookmarkStart w:id="212" w:name="_Toc151190153"/>
      <w:r/>
      <w:bookmarkStart w:id="213" w:name="_Toc516367020"/>
      <w:r/>
      <w:bookmarkStart w:id="214" w:name="_Toc151193840"/>
      <w:r/>
      <w:bookmarkStart w:id="215" w:name="_Toc520356150"/>
      <w:r/>
      <w:bookmarkStart w:id="216" w:name="_Toc142311028"/>
      <w:r/>
      <w:bookmarkStart w:id="217" w:name="_Toc265228364"/>
      <w:r/>
      <w:bookmarkStart w:id="218" w:name="_Toc305158794"/>
      <w:r/>
      <w:bookmarkStart w:id="219" w:name="_Toc150509277"/>
      <w:r/>
      <w:bookmarkStart w:id="220" w:name="_Toc264969216"/>
      <w:r/>
      <w:bookmarkStart w:id="221" w:name="_Toc150774626"/>
      <w:r/>
      <w:bookmarkStart w:id="222" w:name="_Toc151193914"/>
      <w:r>
        <w:rPr>
          <w:rFonts w:ascii="宋体" w:hAnsi="宋体"/>
          <w:color w:val="000000"/>
          <w:sz w:val="28"/>
          <w:highlight w:val="none"/>
        </w:rPr>
      </w:r>
      <w:r/>
    </w:p>
    <w:p>
      <w:pPr>
        <w:pStyle w:val="1128"/>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三   投标文件</w:t>
      </w:r>
      <w:bookmarkEnd w:id="213"/>
      <w:r>
        <w:rPr>
          <w:rFonts w:ascii="宋体" w:hAnsi="宋体" w:eastAsia="宋体"/>
          <w:color w:val="000000"/>
          <w:sz w:val="28"/>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4"/>
      <w:r/>
      <w:bookmarkEnd w:id="215"/>
      <w:r/>
      <w:bookmarkEnd w:id="216"/>
      <w:r/>
      <w:bookmarkEnd w:id="217"/>
      <w:r/>
      <w:bookmarkEnd w:id="218"/>
      <w:r/>
      <w:bookmarkEnd w:id="219"/>
      <w:r/>
      <w:bookmarkEnd w:id="220"/>
      <w:r/>
      <w:bookmarkEnd w:id="221"/>
      <w:r/>
      <w:bookmarkEnd w:id="222"/>
      <w:r>
        <w:rPr>
          <w:rFonts w:ascii="宋体" w:hAnsi="宋体" w:eastAsia="宋体"/>
          <w:color w:val="000000"/>
          <w:sz w:val="28"/>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23" w:name="_Toc142311029"/>
      <w:r/>
      <w:bookmarkStart w:id="224" w:name="_Toc127161441"/>
      <w:r/>
      <w:bookmarkStart w:id="225" w:name="_Toc265228365"/>
      <w:r/>
      <w:bookmarkStart w:id="226" w:name="_Toc151193625"/>
      <w:r/>
      <w:bookmarkStart w:id="227" w:name="_Toc149720820"/>
      <w:r/>
      <w:bookmarkStart w:id="228" w:name="_Toc226337223"/>
      <w:r/>
      <w:bookmarkStart w:id="229" w:name="_Toc520356151"/>
      <w:r/>
      <w:bookmarkStart w:id="230" w:name="_Toc264969217"/>
      <w:r/>
      <w:bookmarkStart w:id="231" w:name="_Toc305158869"/>
      <w:r/>
      <w:bookmarkStart w:id="232" w:name="_Toc150774627"/>
      <w:r/>
      <w:bookmarkStart w:id="233" w:name="_Toc151193769"/>
      <w:r/>
      <w:bookmarkStart w:id="234" w:name="_Toc150480765"/>
      <w:r/>
      <w:bookmarkStart w:id="235" w:name="_Toc164351621"/>
      <w:r/>
      <w:bookmarkStart w:id="236" w:name="_Toc226309771"/>
      <w:r/>
      <w:bookmarkStart w:id="237" w:name="_Toc164608641"/>
      <w:r/>
      <w:bookmarkStart w:id="238" w:name="_Toc127151728"/>
      <w:r/>
      <w:bookmarkStart w:id="239" w:name="_Toc164229222"/>
      <w:r/>
      <w:bookmarkStart w:id="240" w:name="_Toc151190154"/>
      <w:r/>
      <w:bookmarkStart w:id="241" w:name="_Toc226965717"/>
      <w:r/>
      <w:bookmarkStart w:id="242" w:name="_Toc150509278"/>
      <w:r/>
      <w:bookmarkStart w:id="243" w:name="_Toc226965800"/>
      <w:r/>
      <w:bookmarkStart w:id="244" w:name="_Toc151193841"/>
      <w:r/>
      <w:bookmarkStart w:id="245" w:name="_Toc195842892"/>
      <w:r/>
      <w:bookmarkStart w:id="246" w:name="_Toc164608796"/>
      <w:r/>
      <w:bookmarkStart w:id="247" w:name="_Toc305158795"/>
      <w:r/>
      <w:bookmarkStart w:id="248" w:name="_Toc150774732"/>
      <w:r/>
      <w:bookmarkStart w:id="249" w:name="_Toc151193697"/>
      <w:r/>
      <w:bookmarkStart w:id="250" w:name="_Toc164229368"/>
      <w:r/>
      <w:bookmarkStart w:id="251" w:name="_Toc151193915"/>
      <w:r/>
      <w:bookmarkStart w:id="252" w:name="_Toc516367021"/>
      <w:r/>
      <w:bookmarkStart w:id="253" w:name="_Toc127151527"/>
      <w:r>
        <w:rPr>
          <w:rFonts w:ascii="宋体" w:hAnsi="宋体"/>
          <w:color w:val="000000"/>
          <w:sz w:val="24"/>
          <w:highlight w:val="none"/>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ascii="宋体" w:hAnsi="宋体"/>
          <w:color w:val="000000"/>
          <w:sz w:val="24"/>
          <w:highlight w:val="none"/>
        </w:rPr>
        <w:t xml:space="preserve">及投标语言</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sz w:val="24"/>
          <w:highlight w:val="none"/>
        </w:rPr>
        <w:t xml:space="preserve">无效投标</w:t>
      </w:r>
      <w:r>
        <w:rPr>
          <w:rFonts w:ascii="宋体" w:hAnsi="宋体"/>
          <w:color w:val="000000"/>
          <w:sz w:val="24"/>
          <w:highlight w:val="none"/>
        </w:rPr>
        <w:t xml:space="preserve">。</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除招标文件有特殊要求外，本项目投标所使用的计量单位，应采用中华人民共和国法定计量单位。</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54" w:name="_Toc150480766"/>
      <w:r/>
      <w:bookmarkStart w:id="255" w:name="_Toc149720821"/>
      <w:r/>
      <w:bookmarkStart w:id="256" w:name="_Toc226965718"/>
      <w:r/>
      <w:bookmarkStart w:id="257" w:name="_Toc164229369"/>
      <w:r/>
      <w:bookmarkStart w:id="258" w:name="_Toc151193842"/>
      <w:r/>
      <w:bookmarkStart w:id="259" w:name="_Toc195842893"/>
      <w:r/>
      <w:bookmarkStart w:id="260" w:name="_Toc150509279"/>
      <w:r/>
      <w:bookmarkStart w:id="261" w:name="_Ref467306195"/>
      <w:r/>
      <w:bookmarkStart w:id="262" w:name="_Toc516367022"/>
      <w:r/>
      <w:bookmarkStart w:id="263" w:name="_Ref467306676"/>
      <w:r/>
      <w:bookmarkStart w:id="264" w:name="_Toc264969218"/>
      <w:r/>
      <w:bookmarkStart w:id="265" w:name="_Toc265228366"/>
      <w:r/>
      <w:bookmarkStart w:id="266" w:name="_Toc164608797"/>
      <w:r/>
      <w:bookmarkStart w:id="267" w:name="_Toc164229223"/>
      <w:r/>
      <w:bookmarkStart w:id="268" w:name="_Toc151193916"/>
      <w:r/>
      <w:bookmarkStart w:id="269" w:name="_Toc127161442"/>
      <w:r/>
      <w:bookmarkStart w:id="270" w:name="_Toc150774628"/>
      <w:r/>
      <w:bookmarkStart w:id="271" w:name="_Toc520356152"/>
      <w:r/>
      <w:bookmarkStart w:id="272" w:name="_Toc164608642"/>
      <w:r/>
      <w:bookmarkStart w:id="273" w:name="_Toc226309772"/>
      <w:r/>
      <w:bookmarkStart w:id="274" w:name="_Toc127151729"/>
      <w:r/>
      <w:bookmarkStart w:id="275" w:name="_Toc151190155"/>
      <w:r/>
      <w:bookmarkStart w:id="276" w:name="_Toc142311030"/>
      <w:r/>
      <w:bookmarkStart w:id="277" w:name="_Toc127151528"/>
      <w:r/>
      <w:bookmarkStart w:id="278" w:name="_Toc226337224"/>
      <w:r/>
      <w:bookmarkStart w:id="279" w:name="_Toc305158796"/>
      <w:r/>
      <w:bookmarkStart w:id="280" w:name="_Toc150774733"/>
      <w:r/>
      <w:bookmarkStart w:id="281" w:name="_Toc305158870"/>
      <w:r/>
      <w:bookmarkStart w:id="282" w:name="_Toc151193770"/>
      <w:r/>
      <w:bookmarkStart w:id="283" w:name="_Toc151193698"/>
      <w:r/>
      <w:bookmarkStart w:id="284" w:name="_Toc164351622"/>
      <w:r/>
      <w:bookmarkStart w:id="285" w:name="_Toc151193626"/>
      <w:r/>
      <w:bookmarkStart w:id="286" w:name="_Toc226965801"/>
      <w:r>
        <w:rPr>
          <w:rFonts w:ascii="宋体" w:hAnsi="宋体"/>
          <w:color w:val="000000"/>
          <w:sz w:val="24"/>
          <w:highlight w:val="none"/>
        </w:rPr>
        <w:t xml:space="preserve">投标文件</w:t>
      </w:r>
      <w:bookmarkEnd w:id="261"/>
      <w:r/>
      <w:bookmarkEnd w:id="262"/>
      <w:r/>
      <w:bookmarkEnd w:id="263"/>
      <w:r>
        <w:rPr>
          <w:rFonts w:ascii="宋体" w:hAnsi="宋体"/>
          <w:color w:val="000000"/>
          <w:sz w:val="24"/>
          <w:highlight w:val="none"/>
        </w:rPr>
        <w:t xml:space="preserve">构成</w:t>
      </w:r>
      <w:bookmarkEnd w:id="254"/>
      <w:r/>
      <w:bookmarkEnd w:id="255"/>
      <w:r/>
      <w:bookmarkEnd w:id="256"/>
      <w:r/>
      <w:bookmarkEnd w:id="257"/>
      <w:r/>
      <w:bookmarkEnd w:id="258"/>
      <w:r/>
      <w:bookmarkEnd w:id="259"/>
      <w:r/>
      <w:bookmarkEnd w:id="260"/>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287" w:name="_Ref467052588"/>
      <w:r>
        <w:rPr>
          <w:rFonts w:ascii="宋体" w:hAnsi="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第四章《评标程序、评标方法和评标标准》中涉及的证明文件。</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投标人认为应附的其他材料。</w:t>
      </w:r>
      <w:bookmarkEnd w:id="287"/>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88" w:name="_Toc164229225"/>
      <w:r/>
      <w:bookmarkStart w:id="289" w:name="_Toc151190157"/>
      <w:r/>
      <w:bookmarkStart w:id="290" w:name="_Toc151193700"/>
      <w:r/>
      <w:bookmarkStart w:id="291" w:name="_Toc164229371"/>
      <w:r/>
      <w:bookmarkStart w:id="292" w:name="_Toc150774735"/>
      <w:r/>
      <w:bookmarkStart w:id="293" w:name="_Toc151193628"/>
      <w:r/>
      <w:bookmarkStart w:id="294" w:name="_Toc520356155"/>
      <w:r/>
      <w:bookmarkStart w:id="295" w:name="_Toc149720823"/>
      <w:r/>
      <w:bookmarkStart w:id="296" w:name="_Toc127151731"/>
      <w:r/>
      <w:bookmarkStart w:id="297" w:name="_Toc127151530"/>
      <w:r/>
      <w:bookmarkStart w:id="298" w:name="_Toc151193772"/>
      <w:r/>
      <w:bookmarkStart w:id="299" w:name="_Toc164351624"/>
      <w:r/>
      <w:bookmarkStart w:id="300" w:name="_Toc195842895"/>
      <w:r/>
      <w:bookmarkStart w:id="301" w:name="_Toc150774630"/>
      <w:r/>
      <w:bookmarkStart w:id="302" w:name="_Toc164608799"/>
      <w:r/>
      <w:bookmarkStart w:id="303" w:name="_Toc151193918"/>
      <w:r/>
      <w:bookmarkStart w:id="304" w:name="_Toc151193844"/>
      <w:r/>
      <w:bookmarkStart w:id="305" w:name="_Toc127161444"/>
      <w:r/>
      <w:bookmarkStart w:id="306" w:name="_Toc150509281"/>
      <w:r/>
      <w:bookmarkStart w:id="307" w:name="_Toc164608644"/>
      <w:r/>
      <w:bookmarkStart w:id="308" w:name="_Toc142311032"/>
      <w:r/>
      <w:bookmarkStart w:id="309" w:name="_Toc150480768"/>
      <w:r>
        <w:rPr>
          <w:rFonts w:ascii="宋体" w:hAnsi="宋体"/>
          <w:color w:val="000000"/>
          <w:sz w:val="24"/>
          <w:highlight w:val="none"/>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所有投标均以人民币报价。</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投标人的报价应包括为完成本项目所发生的一切费用和税费，招标人将不再支付报价以外的任何费用。</w:t>
      </w:r>
      <w:r>
        <w:rPr>
          <w:rFonts w:hint="eastAsia" w:ascii="宋体" w:hAnsi="宋体"/>
          <w:color w:val="000000"/>
          <w:sz w:val="24"/>
          <w:highlight w:val="none"/>
        </w:rPr>
        <w:t xml:space="preserve">投标人的报价应包括但不限于下列内容，《投标人须知资料表》中有特殊规定的，从其规定。</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按照招标文件要求完成本项目的全部相关服务费用。 </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采购人不得向供应商索要或者接受其给予的赠品、回扣或者与采购无关的其他商品、服务。</w:t>
      </w:r>
      <w:r>
        <w:rPr>
          <w:rFonts w:ascii="宋体" w:hAnsi="宋体"/>
          <w:color w:val="000000"/>
          <w:sz w:val="24"/>
          <w:highlight w:val="none"/>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投标人不能提供任何有选择性或可调整的报价，否则其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hint="eastAsia" w:ascii="宋体" w:hAnsi="宋体"/>
          <w:color w:val="000000"/>
          <w:sz w:val="24"/>
          <w:highlight w:val="none"/>
        </w:rPr>
        <w:outlineLvl w:val="1"/>
      </w:pPr>
      <w:r/>
      <w:bookmarkStart w:id="310" w:name="_Toc195842896"/>
      <w:r/>
      <w:bookmarkStart w:id="311" w:name="_Toc226965804"/>
      <w:r/>
      <w:bookmarkStart w:id="312" w:name="_Toc150774736"/>
      <w:r/>
      <w:bookmarkStart w:id="313" w:name="_Toc127151732"/>
      <w:r/>
      <w:bookmarkStart w:id="314" w:name="_Toc151190158"/>
      <w:r/>
      <w:bookmarkStart w:id="315" w:name="_Toc150480769"/>
      <w:r/>
      <w:bookmarkStart w:id="316" w:name="_Toc164229226"/>
      <w:r/>
      <w:bookmarkStart w:id="317" w:name="_Toc149720824"/>
      <w:r/>
      <w:bookmarkStart w:id="318" w:name="_Toc226309775"/>
      <w:r/>
      <w:bookmarkStart w:id="319" w:name="_Toc226337227"/>
      <w:r/>
      <w:bookmarkStart w:id="320" w:name="_Toc226965721"/>
      <w:r/>
      <w:bookmarkStart w:id="321" w:name="_Toc150509282"/>
      <w:r/>
      <w:bookmarkStart w:id="322" w:name="_Toc164608645"/>
      <w:r/>
      <w:bookmarkStart w:id="323" w:name="_Toc151193919"/>
      <w:r/>
      <w:bookmarkStart w:id="324" w:name="_Toc127151531"/>
      <w:r/>
      <w:bookmarkStart w:id="325" w:name="_Toc151193629"/>
      <w:r/>
      <w:bookmarkStart w:id="326" w:name="_Ref467306513"/>
      <w:r/>
      <w:bookmarkStart w:id="327" w:name="_Toc151193701"/>
      <w:r/>
      <w:bookmarkStart w:id="328" w:name="_Toc520356156"/>
      <w:r/>
      <w:bookmarkStart w:id="329" w:name="_Toc150774631"/>
      <w:r/>
      <w:bookmarkStart w:id="330" w:name="_Toc265228369"/>
      <w:r/>
      <w:bookmarkStart w:id="331" w:name="_Toc264969221"/>
      <w:r/>
      <w:bookmarkStart w:id="332" w:name="_Toc127161445"/>
      <w:r/>
      <w:bookmarkStart w:id="333" w:name="_Toc164608800"/>
      <w:r/>
      <w:bookmarkStart w:id="334" w:name="_Toc142311033"/>
      <w:r/>
      <w:bookmarkStart w:id="335" w:name="_Toc151193845"/>
      <w:r/>
      <w:bookmarkStart w:id="336" w:name="_Toc305158799"/>
      <w:r/>
      <w:bookmarkStart w:id="337" w:name="_Toc151193773"/>
      <w:r/>
      <w:bookmarkStart w:id="338" w:name="_Toc305158873"/>
      <w:r/>
      <w:bookmarkStart w:id="339" w:name="_Toc164229372"/>
      <w:r/>
      <w:bookmarkStart w:id="340" w:name="_Toc164351625"/>
      <w:r>
        <w:rPr>
          <w:rFonts w:ascii="宋体" w:hAnsi="宋体"/>
          <w:color w:val="000000"/>
          <w:sz w:val="24"/>
          <w:highlight w:val="none"/>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宋体" w:hAnsi="宋体"/>
          <w:color w:val="000000"/>
          <w:sz w:val="24"/>
          <w:highlight w:val="none"/>
        </w:rPr>
      </w:r>
      <w:r/>
    </w:p>
    <w:p>
      <w:pPr>
        <w:pStyle w:val="1126"/>
        <w:ind w:left="357"/>
        <w:spacing w:line="360" w:lineRule="auto"/>
        <w:tabs>
          <w:tab w:val="left" w:pos="360" w:leader="none"/>
        </w:tabs>
        <w:rPr>
          <w:rFonts w:ascii="宋体" w:hAnsi="宋体"/>
          <w:color w:val="000000"/>
          <w:sz w:val="24"/>
          <w:highlight w:val="none"/>
        </w:rPr>
        <w:outlineLvl w:val="1"/>
      </w:pPr>
      <w:r>
        <w:rPr>
          <w:rFonts w:hint="eastAsia" w:ascii="宋体" w:hAnsi="宋体"/>
          <w:color w:val="000000"/>
          <w:sz w:val="24"/>
          <w:highlight w:val="none"/>
        </w:rPr>
        <w:t xml:space="preserve">根据江苏省和常州市的相关文件规定，免收投标保证金。</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41" w:name="_Toc195842897"/>
      <w:r/>
      <w:bookmarkStart w:id="342" w:name="_Toc150774632"/>
      <w:r/>
      <w:bookmarkStart w:id="343" w:name="_Toc150480770"/>
      <w:r/>
      <w:bookmarkStart w:id="344" w:name="_Toc226965805"/>
      <w:r/>
      <w:bookmarkStart w:id="345" w:name="_Toc164351626"/>
      <w:r/>
      <w:bookmarkStart w:id="346" w:name="_Toc265228370"/>
      <w:r/>
      <w:bookmarkStart w:id="347" w:name="_Toc150774737"/>
      <w:r/>
      <w:bookmarkStart w:id="348" w:name="_Toc151193702"/>
      <w:r/>
      <w:bookmarkStart w:id="349" w:name="_Toc305158874"/>
      <w:r/>
      <w:bookmarkStart w:id="350" w:name="_Toc151190159"/>
      <w:r/>
      <w:bookmarkStart w:id="351" w:name="_Toc164608646"/>
      <w:r/>
      <w:bookmarkStart w:id="352" w:name="_Toc127161446"/>
      <w:r/>
      <w:bookmarkStart w:id="353" w:name="_Toc150509283"/>
      <w:r/>
      <w:bookmarkStart w:id="354" w:name="_Toc142311034"/>
      <w:r/>
      <w:bookmarkStart w:id="355" w:name="_Toc164229227"/>
      <w:r/>
      <w:bookmarkStart w:id="356" w:name="_Toc164608801"/>
      <w:r/>
      <w:bookmarkStart w:id="357" w:name="_Toc127151733"/>
      <w:r/>
      <w:bookmarkStart w:id="358" w:name="_Toc226337228"/>
      <w:r/>
      <w:bookmarkStart w:id="359" w:name="_Toc226309776"/>
      <w:r/>
      <w:bookmarkStart w:id="360" w:name="_Toc127151532"/>
      <w:r/>
      <w:bookmarkStart w:id="361" w:name="_Toc149720825"/>
      <w:r/>
      <w:bookmarkStart w:id="362" w:name="_Toc164229373"/>
      <w:r/>
      <w:bookmarkStart w:id="363" w:name="_Toc151193846"/>
      <w:r/>
      <w:bookmarkStart w:id="364" w:name="_Toc520356157"/>
      <w:r/>
      <w:bookmarkStart w:id="365" w:name="_Toc151193774"/>
      <w:r/>
      <w:bookmarkStart w:id="366" w:name="_Toc264969222"/>
      <w:r/>
      <w:bookmarkStart w:id="367" w:name="_Toc151193630"/>
      <w:r/>
      <w:bookmarkStart w:id="368" w:name="_Toc305158800"/>
      <w:r/>
      <w:bookmarkStart w:id="369" w:name="_Toc151193920"/>
      <w:r/>
      <w:bookmarkStart w:id="370" w:name="_Toc226965722"/>
      <w:r>
        <w:rPr>
          <w:rFonts w:ascii="宋体" w:hAnsi="宋体"/>
          <w:color w:val="000000"/>
          <w:sz w:val="24"/>
          <w:highlight w:val="none"/>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文件</w:t>
      </w:r>
      <w:r>
        <w:rPr>
          <w:rFonts w:ascii="宋体" w:hAnsi="宋体"/>
          <w:color w:val="000000"/>
          <w:sz w:val="24"/>
          <w:highlight w:val="none"/>
        </w:rPr>
        <w:t xml:space="preserve">应在本招标文件《投标人须知资料表》中规定的投标有效期内保持有效，投标有效期少于招标文件规定期限的，其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71" w:name="_Toc151193631"/>
      <w:r/>
      <w:bookmarkStart w:id="372" w:name="_Toc151193847"/>
      <w:r/>
      <w:bookmarkStart w:id="373" w:name="_Toc264969223"/>
      <w:r/>
      <w:bookmarkStart w:id="374" w:name="_Toc164351627"/>
      <w:r/>
      <w:bookmarkStart w:id="375" w:name="_Toc164229374"/>
      <w:r/>
      <w:bookmarkStart w:id="376" w:name="_Toc226965723"/>
      <w:r/>
      <w:bookmarkStart w:id="377" w:name="_Toc150509284"/>
      <w:r/>
      <w:bookmarkStart w:id="378" w:name="_Toc150480771"/>
      <w:r/>
      <w:bookmarkStart w:id="379" w:name="_Toc149720826"/>
      <w:r/>
      <w:bookmarkStart w:id="380" w:name="_Toc151193921"/>
      <w:r/>
      <w:bookmarkStart w:id="381" w:name="_Toc127161447"/>
      <w:r/>
      <w:bookmarkStart w:id="382" w:name="_Toc195842898"/>
      <w:r/>
      <w:bookmarkStart w:id="383" w:name="_Toc150774738"/>
      <w:r/>
      <w:bookmarkStart w:id="384" w:name="_Toc226337229"/>
      <w:r/>
      <w:bookmarkStart w:id="385" w:name="_Toc305158875"/>
      <w:r/>
      <w:bookmarkStart w:id="386" w:name="_Toc151193703"/>
      <w:r/>
      <w:bookmarkStart w:id="387" w:name="_Toc151193775"/>
      <w:r/>
      <w:bookmarkStart w:id="388" w:name="_Toc142311035"/>
      <w:r/>
      <w:bookmarkStart w:id="389" w:name="_Toc164608647"/>
      <w:r/>
      <w:bookmarkStart w:id="390" w:name="_Toc226965806"/>
      <w:r/>
      <w:bookmarkStart w:id="391" w:name="_Toc305158801"/>
      <w:r/>
      <w:bookmarkStart w:id="392" w:name="_Toc265228371"/>
      <w:r/>
      <w:bookmarkStart w:id="393" w:name="_Toc127151734"/>
      <w:r/>
      <w:bookmarkStart w:id="394" w:name="_Toc127151533"/>
      <w:r/>
      <w:bookmarkStart w:id="395" w:name="_Toc164229228"/>
      <w:r/>
      <w:bookmarkStart w:id="396" w:name="_Toc150774633"/>
      <w:r/>
      <w:bookmarkStart w:id="397" w:name="_Toc151190160"/>
      <w:r/>
      <w:bookmarkStart w:id="398" w:name="_Toc520356158"/>
      <w:r/>
      <w:bookmarkStart w:id="399" w:name="_Toc164608802"/>
      <w:r/>
      <w:bookmarkStart w:id="400" w:name="_Toc226309777"/>
      <w:r>
        <w:rPr>
          <w:rFonts w:ascii="宋体" w:hAnsi="宋体"/>
          <w:color w:val="000000"/>
          <w:sz w:val="24"/>
          <w:highlight w:val="none"/>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ascii="宋体" w:hAnsi="宋体"/>
          <w:color w:val="000000"/>
          <w:sz w:val="24"/>
          <w:highlight w:val="none"/>
        </w:rPr>
        <w:t xml:space="preserve">、加盖公章</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401" w:name="_Toc226965724"/>
      <w:r/>
      <w:bookmarkStart w:id="402" w:name="_Toc226337230"/>
      <w:r/>
      <w:bookmarkStart w:id="403" w:name="_Toc264969224"/>
      <w:r/>
      <w:bookmarkStart w:id="404" w:name="_Toc150480772"/>
      <w:r/>
      <w:bookmarkStart w:id="405" w:name="_Toc195842899"/>
      <w:r/>
      <w:bookmarkStart w:id="406" w:name="_Toc265228372"/>
      <w:r/>
      <w:bookmarkStart w:id="407" w:name="_Toc305158876"/>
      <w:r/>
      <w:bookmarkStart w:id="408" w:name="_Toc150774739"/>
      <w:r/>
      <w:bookmarkStart w:id="409" w:name="_Toc151193776"/>
      <w:r/>
      <w:bookmarkStart w:id="410" w:name="_Toc127151534"/>
      <w:r/>
      <w:bookmarkStart w:id="411" w:name="_Toc151193848"/>
      <w:r/>
      <w:bookmarkStart w:id="412" w:name="_Toc520356159"/>
      <w:r/>
      <w:bookmarkStart w:id="413" w:name="_Toc151193922"/>
      <w:r/>
      <w:bookmarkStart w:id="414" w:name="_Toc226309778"/>
      <w:r/>
      <w:bookmarkStart w:id="415" w:name="_Toc151190161"/>
      <w:r/>
      <w:bookmarkStart w:id="416" w:name="_Toc150774634"/>
      <w:r/>
      <w:bookmarkStart w:id="417" w:name="_Toc305158802"/>
      <w:r/>
      <w:bookmarkStart w:id="418" w:name="_Toc151193704"/>
      <w:r/>
      <w:bookmarkStart w:id="419" w:name="_Toc226965807"/>
      <w:r/>
      <w:bookmarkStart w:id="420" w:name="_Toc151193632"/>
      <w:r/>
      <w:bookmarkStart w:id="421" w:name="_Toc150509285"/>
      <w:r/>
      <w:bookmarkStart w:id="422" w:name="_Toc142311036"/>
      <w:r>
        <w:rPr>
          <w:rFonts w:ascii="宋体" w:hAnsi="宋体"/>
          <w:color w:val="000000"/>
          <w:sz w:val="24"/>
          <w:highlight w:val="none"/>
        </w:rPr>
        <w:t xml:space="preserve">招标文件要求签字的内容（如授权委托书等），</w:t>
      </w:r>
      <w:r>
        <w:rPr>
          <w:rFonts w:hint="eastAsia" w:ascii="宋体" w:hAnsi="宋体"/>
          <w:color w:val="000000"/>
          <w:sz w:val="24"/>
          <w:highlight w:val="none"/>
        </w:rPr>
        <w:t xml:space="preserve">可以使用电子签章或使用原件的电子件（电子件指扫描件、照片等形式电子文件）；要求</w:t>
      </w:r>
      <w:r>
        <w:rPr>
          <w:rFonts w:ascii="宋体" w:hAnsi="宋体"/>
          <w:color w:val="000000"/>
          <w:sz w:val="24"/>
          <w:highlight w:val="none"/>
        </w:rPr>
        <w:t xml:space="preserve">第三方出具的加盖公章原件（如联合协议、分包意向协议、制造商授权书等），投标文件中应使用原件的电子件。</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招标文件要求加盖公章的内容，</w:t>
      </w:r>
      <w:r>
        <w:rPr>
          <w:rFonts w:hint="eastAsia" w:ascii="宋体" w:hAnsi="宋体"/>
          <w:color w:val="000000"/>
          <w:sz w:val="24"/>
          <w:highlight w:val="none"/>
        </w:rPr>
        <w:t xml:space="preserve">一般</w:t>
      </w:r>
      <w:r>
        <w:rPr>
          <w:rFonts w:ascii="宋体" w:hAnsi="宋体"/>
          <w:color w:val="000000"/>
          <w:sz w:val="24"/>
          <w:highlight w:val="none"/>
        </w:rPr>
        <w:t xml:space="preserve">通过投标文件编制工具加盖电子签章。</w:t>
      </w:r>
      <w:r>
        <w:rPr>
          <w:rFonts w:ascii="宋体" w:hAnsi="宋体"/>
          <w:color w:val="000000"/>
          <w:sz w:val="24"/>
          <w:highlight w:val="none"/>
        </w:rPr>
      </w:r>
      <w:r/>
    </w:p>
    <w:p>
      <w:pPr>
        <w:pStyle w:val="1126"/>
        <w:ind w:left="357"/>
        <w:spacing w:line="360" w:lineRule="auto"/>
        <w:tabs>
          <w:tab w:val="left" w:pos="900" w:leader="none"/>
          <w:tab w:val="left" w:pos="1080" w:leader="none"/>
        </w:tabs>
        <w:rPr>
          <w:rFonts w:ascii="宋体" w:hAnsi="宋体"/>
          <w:color w:val="000000"/>
          <w:highlight w:val="none"/>
        </w:rPr>
      </w:pPr>
      <w:r>
        <w:rPr>
          <w:rFonts w:ascii="宋体" w:hAnsi="宋体"/>
          <w:color w:val="000000"/>
          <w:highlight w:val="none"/>
        </w:rPr>
      </w:r>
      <w:r/>
    </w:p>
    <w:p>
      <w:pPr>
        <w:pStyle w:val="1128"/>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ascii="宋体" w:hAnsi="宋体" w:eastAsia="宋体"/>
          <w:color w:val="000000"/>
          <w:sz w:val="28"/>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23" w:name="_Toc151193705"/>
      <w:r/>
      <w:bookmarkStart w:id="424" w:name="_Toc127151535"/>
      <w:r/>
      <w:bookmarkStart w:id="425" w:name="_Toc150774635"/>
      <w:r/>
      <w:bookmarkStart w:id="426" w:name="_Toc150480773"/>
      <w:r/>
      <w:bookmarkStart w:id="427" w:name="_Toc164608804"/>
      <w:r/>
      <w:bookmarkStart w:id="428" w:name="_Toc127161449"/>
      <w:r/>
      <w:bookmarkStart w:id="429" w:name="_Toc164608649"/>
      <w:r/>
      <w:bookmarkStart w:id="430" w:name="_Toc520356160"/>
      <w:r/>
      <w:bookmarkStart w:id="431" w:name="_Toc151193777"/>
      <w:r/>
      <w:bookmarkStart w:id="432" w:name="_Toc195842900"/>
      <w:r/>
      <w:bookmarkStart w:id="433" w:name="_Toc226337231"/>
      <w:r/>
      <w:bookmarkStart w:id="434" w:name="_Toc127151736"/>
      <w:r/>
      <w:bookmarkStart w:id="435" w:name="_Toc164229230"/>
      <w:r/>
      <w:bookmarkStart w:id="436" w:name="_Toc150774740"/>
      <w:r/>
      <w:bookmarkStart w:id="437" w:name="_Toc305158803"/>
      <w:r/>
      <w:bookmarkStart w:id="438" w:name="_Toc226309779"/>
      <w:r/>
      <w:bookmarkStart w:id="439" w:name="_Toc149720828"/>
      <w:r/>
      <w:bookmarkStart w:id="440" w:name="_Toc151193849"/>
      <w:r/>
      <w:bookmarkStart w:id="441" w:name="_Toc142311037"/>
      <w:r/>
      <w:bookmarkStart w:id="442" w:name="_Toc265228373"/>
      <w:r/>
      <w:bookmarkStart w:id="443" w:name="_Toc151193923"/>
      <w:r/>
      <w:bookmarkStart w:id="444" w:name="_Toc164351629"/>
      <w:r/>
      <w:bookmarkStart w:id="445" w:name="_Toc151193633"/>
      <w:r/>
      <w:bookmarkStart w:id="446" w:name="_Toc226965725"/>
      <w:r/>
      <w:bookmarkStart w:id="447" w:name="_Toc150509286"/>
      <w:r/>
      <w:bookmarkStart w:id="448" w:name="_Toc164229376"/>
      <w:r/>
      <w:bookmarkStart w:id="449" w:name="_Toc305158877"/>
      <w:r/>
      <w:bookmarkStart w:id="450" w:name="_Toc264969225"/>
      <w:r/>
      <w:bookmarkStart w:id="451" w:name="_Toc226965808"/>
      <w:r/>
      <w:bookmarkStart w:id="452" w:name="_Toc151190162"/>
      <w:r>
        <w:rPr>
          <w:rFonts w:ascii="宋体" w:hAnsi="宋体"/>
          <w:color w:val="000000"/>
          <w:sz w:val="24"/>
          <w:highlight w:val="none"/>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ascii="宋体" w:hAnsi="宋体"/>
          <w:color w:val="000000"/>
          <w:sz w:val="24"/>
          <w:highlight w:val="none"/>
        </w:rPr>
        <w:t xml:space="preserve">提交</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rPr>
        <w:t xml:space="preserve">。投标人根据招标文件及</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ascii="宋体" w:hAnsi="宋体"/>
          <w:color w:val="000000"/>
          <w:sz w:val="24"/>
          <w:highlight w:val="none"/>
          <w:lang w:bidi="ar"/>
        </w:rPr>
        <w:t xml:space="preserve">系统</w:t>
      </w:r>
      <w:r>
        <w:rPr>
          <w:rFonts w:ascii="宋体" w:hAnsi="宋体"/>
          <w:color w:val="000000"/>
          <w:sz w:val="24"/>
          <w:highlight w:val="none"/>
        </w:rPr>
        <w:t xml:space="preserve">供应商操作手册要求编制、生成并提交电子投标文件。</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采购人及采购代理机构拒绝接受通过</w:t>
      </w:r>
      <w:r>
        <w:rPr>
          <w:rFonts w:hint="eastAsia" w:ascii="宋体" w:hAnsi="宋体"/>
          <w:color w:val="000000"/>
          <w:sz w:val="24"/>
          <w:highlight w:val="none"/>
        </w:rPr>
        <w:t xml:space="preserve">“</w:t>
      </w:r>
      <w:r>
        <w:rPr>
          <w:rFonts w:ascii="宋体" w:hAnsi="宋体"/>
          <w:color w:val="000000"/>
          <w:sz w:val="24"/>
          <w:highlight w:val="none"/>
        </w:rPr>
        <w:t xml:space="preserve">苏采云”系统以外任何形式提交的投标文件。</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53" w:name="_Toc151193634"/>
      <w:r/>
      <w:bookmarkStart w:id="454" w:name="_Toc164229231"/>
      <w:r/>
      <w:bookmarkStart w:id="455" w:name="_Toc264969226"/>
      <w:r/>
      <w:bookmarkStart w:id="456" w:name="_Toc305158878"/>
      <w:r/>
      <w:bookmarkStart w:id="457" w:name="_Toc151193924"/>
      <w:r/>
      <w:bookmarkStart w:id="458" w:name="_Toc164351630"/>
      <w:r/>
      <w:bookmarkStart w:id="459" w:name="_Toc127151737"/>
      <w:r/>
      <w:bookmarkStart w:id="460" w:name="_Toc150774741"/>
      <w:r/>
      <w:bookmarkStart w:id="461" w:name="_Toc226309780"/>
      <w:r/>
      <w:bookmarkStart w:id="462" w:name="_Toc164229377"/>
      <w:r/>
      <w:bookmarkStart w:id="463" w:name="_Toc127151536"/>
      <w:r/>
      <w:bookmarkStart w:id="464" w:name="_Toc150480774"/>
      <w:r/>
      <w:bookmarkStart w:id="465" w:name="_Toc226965809"/>
      <w:r/>
      <w:bookmarkStart w:id="466" w:name="_Toc164608805"/>
      <w:r/>
      <w:bookmarkStart w:id="467" w:name="_Toc151190163"/>
      <w:r/>
      <w:bookmarkStart w:id="468" w:name="_Toc265228374"/>
      <w:r/>
      <w:bookmarkStart w:id="469" w:name="_Toc150509287"/>
      <w:r/>
      <w:bookmarkStart w:id="470" w:name="_Toc520356161"/>
      <w:r/>
      <w:bookmarkStart w:id="471" w:name="_Toc226337232"/>
      <w:r/>
      <w:bookmarkStart w:id="472" w:name="_Toc150774636"/>
      <w:r/>
      <w:bookmarkStart w:id="473" w:name="_Toc151193850"/>
      <w:r/>
      <w:bookmarkStart w:id="474" w:name="_Toc151193778"/>
      <w:r/>
      <w:bookmarkStart w:id="475" w:name="_Toc164608650"/>
      <w:r/>
      <w:bookmarkStart w:id="476" w:name="_Toc226965726"/>
      <w:r/>
      <w:bookmarkStart w:id="477" w:name="_Toc195842901"/>
      <w:r/>
      <w:bookmarkStart w:id="478" w:name="_Toc127161450"/>
      <w:r/>
      <w:bookmarkStart w:id="479" w:name="_Toc149720829"/>
      <w:r/>
      <w:bookmarkStart w:id="480" w:name="_Toc305158804"/>
      <w:r/>
      <w:bookmarkStart w:id="481" w:name="_Toc151193706"/>
      <w:r/>
      <w:bookmarkStart w:id="482" w:name="_Toc142311038"/>
      <w:r>
        <w:rPr>
          <w:rFonts w:ascii="宋体" w:hAnsi="宋体"/>
          <w:color w:val="000000"/>
          <w:sz w:val="24"/>
          <w:highlight w:val="none"/>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ascii="宋体" w:hAnsi="宋体"/>
          <w:color w:val="000000"/>
          <w:sz w:val="24"/>
          <w:highlight w:val="none"/>
        </w:rPr>
        <w:t xml:space="preserve">时间</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投标人应在招标文件要求提交投标文件截止时间前，将电子投标文件提交至</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83" w:name="_Toc164229232"/>
      <w:r/>
      <w:bookmarkStart w:id="484" w:name="_Toc150480775"/>
      <w:r/>
      <w:bookmarkStart w:id="485" w:name="_Toc195842902"/>
      <w:r/>
      <w:bookmarkStart w:id="486" w:name="_Toc164608806"/>
      <w:r/>
      <w:bookmarkStart w:id="487" w:name="_Toc226965810"/>
      <w:r/>
      <w:bookmarkStart w:id="488" w:name="_Toc127151738"/>
      <w:r/>
      <w:bookmarkStart w:id="489" w:name="_Toc149720830"/>
      <w:r/>
      <w:bookmarkStart w:id="490" w:name="_Toc151193925"/>
      <w:r/>
      <w:bookmarkStart w:id="491" w:name="_Toc264969227"/>
      <w:r/>
      <w:bookmarkStart w:id="492" w:name="_Toc265228375"/>
      <w:r/>
      <w:bookmarkStart w:id="493" w:name="_Toc142311039"/>
      <w:r/>
      <w:bookmarkStart w:id="494" w:name="_Toc164608651"/>
      <w:r/>
      <w:bookmarkStart w:id="495" w:name="_Toc226965727"/>
      <w:r/>
      <w:bookmarkStart w:id="496" w:name="_Toc226337233"/>
      <w:r/>
      <w:bookmarkStart w:id="497" w:name="_Toc151193779"/>
      <w:r/>
      <w:bookmarkStart w:id="498" w:name="_Toc150774637"/>
      <w:r/>
      <w:bookmarkStart w:id="499" w:name="_Toc164351631"/>
      <w:r/>
      <w:bookmarkStart w:id="500" w:name="_Toc151193635"/>
      <w:r/>
      <w:bookmarkStart w:id="501" w:name="_Toc150509288"/>
      <w:r/>
      <w:bookmarkStart w:id="502" w:name="_Toc151193707"/>
      <w:r/>
      <w:bookmarkStart w:id="503" w:name="_Toc151190164"/>
      <w:r/>
      <w:bookmarkStart w:id="504" w:name="_Toc127151537"/>
      <w:r/>
      <w:bookmarkStart w:id="505" w:name="_Toc226309781"/>
      <w:r/>
      <w:bookmarkStart w:id="506" w:name="_Toc305158805"/>
      <w:r/>
      <w:bookmarkStart w:id="507" w:name="_Toc127161451"/>
      <w:r/>
      <w:bookmarkStart w:id="508" w:name="_Toc305158879"/>
      <w:r/>
      <w:bookmarkStart w:id="509" w:name="_Toc520356162"/>
      <w:r/>
      <w:bookmarkStart w:id="510" w:name="_Toc150774742"/>
      <w:r/>
      <w:bookmarkStart w:id="511" w:name="_Toc151193851"/>
      <w:r/>
      <w:bookmarkStart w:id="512" w:name="_Toc164229378"/>
      <w:r>
        <w:rPr>
          <w:rFonts w:ascii="宋体" w:hAnsi="宋体"/>
          <w:color w:val="000000"/>
          <w:sz w:val="24"/>
          <w:highlight w:val="none"/>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投标截止时间前，投标人可以通过</w:t>
      </w:r>
      <w:r>
        <w:rPr>
          <w:rFonts w:hint="eastAsia" w:ascii="宋体" w:hAnsi="宋体"/>
          <w:color w:val="000000"/>
          <w:sz w:val="24"/>
          <w:highlight w:val="none"/>
        </w:rPr>
        <w:t xml:space="preserve">“</w:t>
      </w:r>
      <w:r>
        <w:rPr>
          <w:rFonts w:ascii="宋体" w:hAnsi="宋体"/>
          <w:color w:val="000000"/>
          <w:sz w:val="24"/>
          <w:highlight w:val="none"/>
        </w:rPr>
        <w:t xml:space="preserve">苏采云”系统对所提交的投标文件进行补充、修改或者撤回。</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投标人对投标文件的补充、修改的内容应当按照招标文件要求签署、加盖公章，作为投标文件的组成部分。</w:t>
      </w:r>
      <w:r>
        <w:rPr>
          <w:rFonts w:ascii="宋体" w:hAnsi="宋体"/>
          <w:color w:val="000000"/>
          <w:sz w:val="24"/>
          <w:highlight w:val="none"/>
        </w:rPr>
      </w:r>
      <w:r/>
    </w:p>
    <w:p>
      <w:pPr>
        <w:pStyle w:val="1126"/>
        <w:spacing w:line="360" w:lineRule="auto"/>
        <w:rPr>
          <w:rFonts w:ascii="宋体" w:hAnsi="宋体"/>
          <w:color w:val="000000"/>
          <w:sz w:val="24"/>
          <w:highlight w:val="none"/>
        </w:rPr>
      </w:pPr>
      <w:r>
        <w:rPr>
          <w:rFonts w:ascii="宋体" w:hAnsi="宋体"/>
          <w:color w:val="000000"/>
          <w:sz w:val="24"/>
          <w:highlight w:val="none"/>
        </w:rPr>
      </w:r>
      <w:r/>
    </w:p>
    <w:p>
      <w:pPr>
        <w:pStyle w:val="1128"/>
        <w:spacing w:before="0" w:line="360" w:lineRule="auto"/>
        <w:rPr>
          <w:rFonts w:ascii="宋体" w:hAnsi="宋体" w:eastAsia="宋体"/>
          <w:color w:val="000000"/>
          <w:sz w:val="28"/>
          <w:highlight w:val="none"/>
        </w:rPr>
      </w:pPr>
      <w:r/>
      <w:bookmarkStart w:id="513" w:name="_Toc264969228"/>
      <w:r/>
      <w:bookmarkStart w:id="514" w:name="_Toc226965728"/>
      <w:r/>
      <w:bookmarkStart w:id="515" w:name="_Toc150774638"/>
      <w:r/>
      <w:bookmarkStart w:id="516" w:name="_Toc520356163"/>
      <w:r/>
      <w:bookmarkStart w:id="517" w:name="_Toc151193852"/>
      <w:r/>
      <w:bookmarkStart w:id="518" w:name="_Toc151193926"/>
      <w:r/>
      <w:bookmarkStart w:id="519" w:name="_Toc150774743"/>
      <w:r/>
      <w:bookmarkStart w:id="520" w:name="_Toc150480776"/>
      <w:r/>
      <w:bookmarkStart w:id="521" w:name="_Toc226337234"/>
      <w:r/>
      <w:bookmarkStart w:id="522" w:name="_Toc265228376"/>
      <w:r/>
      <w:bookmarkStart w:id="523" w:name="_Toc226965811"/>
      <w:r/>
      <w:bookmarkStart w:id="524" w:name="_Toc151193636"/>
      <w:r/>
      <w:bookmarkStart w:id="525" w:name="_Toc151193708"/>
      <w:r/>
      <w:bookmarkStart w:id="526" w:name="_Toc127151538"/>
      <w:r/>
      <w:bookmarkStart w:id="527" w:name="_Toc142311040"/>
      <w:r/>
      <w:bookmarkStart w:id="528" w:name="_Toc150509289"/>
      <w:r/>
      <w:bookmarkStart w:id="529" w:name="_Toc195842903"/>
      <w:r/>
      <w:bookmarkStart w:id="530" w:name="_Toc226309782"/>
      <w:r/>
      <w:bookmarkStart w:id="531" w:name="_Toc305158880"/>
      <w:r/>
      <w:bookmarkStart w:id="532" w:name="_Toc305158806"/>
      <w:r/>
      <w:bookmarkStart w:id="533" w:name="_Toc151190165"/>
      <w:r/>
      <w:bookmarkStart w:id="534" w:name="_Toc151193780"/>
      <w:r>
        <w:rPr>
          <w:rFonts w:ascii="宋体" w:hAnsi="宋体" w:eastAsia="宋体"/>
          <w:color w:val="000000"/>
          <w:sz w:val="28"/>
          <w:highlight w:val="none"/>
        </w:rPr>
        <w:t xml:space="preserve">五   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ascii="宋体" w:hAnsi="宋体" w:eastAsia="宋体"/>
          <w:color w:val="000000"/>
          <w:sz w:val="28"/>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535" w:name="_Toc226965812"/>
      <w:r/>
      <w:bookmarkStart w:id="536" w:name="_Toc151193781"/>
      <w:r/>
      <w:bookmarkStart w:id="537" w:name="_Toc305158881"/>
      <w:r/>
      <w:bookmarkStart w:id="538" w:name="_Toc265228377"/>
      <w:r/>
      <w:bookmarkStart w:id="539" w:name="_Toc305158807"/>
      <w:r/>
      <w:bookmarkStart w:id="540" w:name="_Toc150480777"/>
      <w:r/>
      <w:bookmarkStart w:id="541" w:name="_Toc151193709"/>
      <w:r/>
      <w:bookmarkStart w:id="542" w:name="_Toc164229234"/>
      <w:r/>
      <w:bookmarkStart w:id="543" w:name="_Toc226965729"/>
      <w:r/>
      <w:bookmarkStart w:id="544" w:name="_Toc195842904"/>
      <w:r/>
      <w:bookmarkStart w:id="545" w:name="_Toc226337235"/>
      <w:r/>
      <w:bookmarkStart w:id="546" w:name="_Toc164608808"/>
      <w:r/>
      <w:bookmarkStart w:id="547" w:name="_Toc164229380"/>
      <w:r/>
      <w:bookmarkStart w:id="548" w:name="_Toc127161453"/>
      <w:r/>
      <w:bookmarkStart w:id="549" w:name="_Toc151193927"/>
      <w:r/>
      <w:bookmarkStart w:id="550" w:name="_Toc151193637"/>
      <w:r/>
      <w:bookmarkStart w:id="551" w:name="_Toc149720832"/>
      <w:r/>
      <w:bookmarkStart w:id="552" w:name="_Toc150774639"/>
      <w:r/>
      <w:bookmarkStart w:id="553" w:name="_Toc127151539"/>
      <w:r/>
      <w:bookmarkStart w:id="554" w:name="_Toc164608653"/>
      <w:r/>
      <w:bookmarkStart w:id="555" w:name="_Toc520356164"/>
      <w:r/>
      <w:bookmarkStart w:id="556" w:name="_Toc164351633"/>
      <w:r/>
      <w:bookmarkStart w:id="557" w:name="_Toc226309783"/>
      <w:r/>
      <w:bookmarkStart w:id="558" w:name="_Toc142311041"/>
      <w:r/>
      <w:bookmarkStart w:id="559" w:name="_Toc151190166"/>
      <w:r/>
      <w:bookmarkStart w:id="560" w:name="_Toc150774744"/>
      <w:r/>
      <w:bookmarkStart w:id="561" w:name="_Toc150509290"/>
      <w:r/>
      <w:bookmarkStart w:id="562" w:name="_Toc264969229"/>
      <w:r/>
      <w:bookmarkStart w:id="563" w:name="_Toc127151740"/>
      <w:r/>
      <w:bookmarkStart w:id="564" w:name="_Toc151193853"/>
      <w:r>
        <w:rPr>
          <w:rFonts w:ascii="宋体" w:hAnsi="宋体"/>
          <w:color w:val="000000"/>
          <w:sz w:val="24"/>
          <w:highlight w:val="none"/>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采购人或采购代理机构将按招标文件的规定，在投标截止时间的同一时间和招标文件预先确定的地点组织开标。</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本项目开标采用不见面招投标模式</w:t>
      </w:r>
      <w:r>
        <w:rPr>
          <w:rFonts w:hint="eastAsia" w:ascii="宋体" w:hAnsi="宋体"/>
          <w:color w:val="000000"/>
          <w:sz w:val="24"/>
          <w:highlight w:val="none"/>
        </w:rPr>
        <w:t xml:space="preserve">，</w:t>
      </w:r>
      <w:r>
        <w:rPr>
          <w:rFonts w:ascii="宋体" w:hAnsi="宋体"/>
          <w:color w:val="000000"/>
          <w:sz w:val="24"/>
          <w:highlight w:val="none"/>
        </w:rPr>
        <w:t xml:space="preserve">使用</w:t>
      </w:r>
      <w:r>
        <w:rPr>
          <w:rFonts w:hint="eastAsia" w:ascii="宋体" w:hAnsi="宋体"/>
          <w:color w:val="000000"/>
          <w:sz w:val="24"/>
          <w:highlight w:val="none"/>
        </w:rPr>
        <w:t xml:space="preserve">“</w:t>
      </w:r>
      <w:r>
        <w:rPr>
          <w:rFonts w:ascii="宋体" w:hAnsi="宋体"/>
          <w:color w:val="000000"/>
          <w:sz w:val="24"/>
          <w:highlight w:val="none"/>
        </w:rPr>
        <w:t xml:space="preserve">苏采云”系统</w:t>
      </w:r>
      <w:r>
        <w:rPr>
          <w:rFonts w:hint="eastAsia" w:ascii="宋体" w:hAnsi="宋体"/>
          <w:color w:val="000000"/>
          <w:sz w:val="24"/>
          <w:highlight w:val="none"/>
        </w:rPr>
        <w:t xml:space="preserve">在线进行开标</w:t>
      </w:r>
      <w:r>
        <w:rPr>
          <w:rFonts w:ascii="宋体" w:hAnsi="宋体"/>
          <w:color w:val="000000"/>
          <w:sz w:val="24"/>
          <w:highlight w:val="none"/>
        </w:rPr>
        <w:t xml:space="preserve">。投标人应在规定的时间内对投标文件进行解密，因非系统原因导致的解密失败，视为</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开标过程将使用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政府采购一体化平台公</w:t>
      </w:r>
      <w:r>
        <w:rPr>
          <w:rFonts w:ascii="宋体" w:hAnsi="宋体"/>
          <w:color w:val="000000"/>
          <w:sz w:val="24"/>
          <w:highlight w:val="none"/>
        </w:rPr>
        <w:t xml:space="preserve">布投标人名称、投标价格和招标文件规定的需要宣布的其他内容并进行记录，并由参加开标的各投标人代表</w:t>
      </w:r>
      <w:r>
        <w:rPr>
          <w:rFonts w:hint="eastAsia" w:ascii="宋体" w:hAnsi="宋体"/>
          <w:color w:val="000000"/>
          <w:sz w:val="24"/>
          <w:highlight w:val="none"/>
        </w:rPr>
        <w:t xml:space="preserve">在规定时间内</w:t>
      </w:r>
      <w:r>
        <w:rPr>
          <w:rFonts w:ascii="宋体" w:hAnsi="宋体"/>
          <w:color w:val="000000"/>
          <w:sz w:val="24"/>
          <w:highlight w:val="none"/>
        </w:rPr>
        <w:t xml:space="preserve">确认</w:t>
      </w:r>
      <w:bookmarkStart w:id="565" w:name="_Toc520356165"/>
      <w:r>
        <w:rPr>
          <w:rFonts w:hint="eastAsia" w:ascii="宋体" w:hAnsi="宋体"/>
          <w:color w:val="000000"/>
          <w:sz w:val="24"/>
          <w:highlight w:val="none"/>
        </w:rPr>
        <w:t xml:space="preserve">。投标人超过规定时间未确认但是未提出疑义的，系统将视同已确认</w:t>
      </w:r>
      <w:r>
        <w:rPr>
          <w:rFonts w:ascii="宋体" w:hAnsi="宋体"/>
          <w:color w:val="000000"/>
          <w:sz w:val="24"/>
          <w:highlight w:val="none"/>
        </w:rPr>
        <w:t xml:space="preserve">。</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投标人代表对开标过程和开标记录有疑义，以及认为采购人、采购代理机构相关工作人员有需要回避的情形的，应当场</w:t>
      </w:r>
      <w:r>
        <w:rPr>
          <w:rFonts w:hint="eastAsia" w:ascii="宋体" w:hAnsi="宋体"/>
          <w:color w:val="000000"/>
          <w:sz w:val="24"/>
          <w:highlight w:val="none"/>
        </w:rPr>
        <w:t xml:space="preserve">通过业务系统</w:t>
      </w:r>
      <w:r>
        <w:rPr>
          <w:rFonts w:ascii="宋体" w:hAnsi="宋体"/>
          <w:color w:val="000000"/>
          <w:sz w:val="24"/>
          <w:highlight w:val="none"/>
        </w:rPr>
        <w:t xml:space="preserve">提出询问或者回避申请。采购人、采购代理机构对投标人代表提出的询问或者回避申请将及时处理。</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ascii="宋体" w:hAnsi="宋体"/>
          <w:color w:val="000000"/>
          <w:sz w:val="24"/>
          <w:highlight w:val="none"/>
        </w:rPr>
        <w:t xml:space="preserve">投标人不足3家的，不予开标。</w:t>
      </w:r>
      <w:r>
        <w:rPr>
          <w:rFonts w:hint="eastAsia"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投标人须在开标前使用“验证CA”功能验证本地计算机的控件环境是否正常，并且在开标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，必须使用验证成功的计算机进行操作，否则造成相应后果由投标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自行承担。本地计算机</w:t>
      </w:r>
      <w:r>
        <w:rPr>
          <w:rFonts w:hint="eastAsia" w:ascii="宋体" w:hAnsi="宋体"/>
          <w:color w:val="000000"/>
          <w:sz w:val="24"/>
          <w:highlight w:val="none"/>
        </w:rPr>
        <w:t xml:space="preserve">要求安装摄像头、麦克风和音箱，保持网络通畅。</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因本项目</w:t>
      </w:r>
      <w:r>
        <w:rPr>
          <w:rFonts w:ascii="宋体" w:hAnsi="宋体"/>
          <w:color w:val="000000"/>
          <w:sz w:val="24"/>
          <w:highlight w:val="none"/>
        </w:rPr>
        <w:t xml:space="preserve">采用不见面交易的</w:t>
      </w:r>
      <w:r>
        <w:rPr>
          <w:rFonts w:hint="eastAsia" w:ascii="宋体" w:hAnsi="宋体"/>
          <w:color w:val="000000"/>
          <w:sz w:val="24"/>
          <w:highlight w:val="none"/>
        </w:rPr>
        <w:t xml:space="preserve">方式</w:t>
      </w:r>
      <w:r>
        <w:rPr>
          <w:rFonts w:ascii="宋体" w:hAnsi="宋体"/>
          <w:color w:val="000000"/>
          <w:sz w:val="24"/>
          <w:highlight w:val="none"/>
        </w:rPr>
        <w:t xml:space="preserve">，在</w:t>
      </w:r>
      <w:r>
        <w:rPr>
          <w:rFonts w:hint="eastAsia" w:ascii="宋体" w:hAnsi="宋体"/>
          <w:color w:val="000000"/>
          <w:sz w:val="24"/>
          <w:highlight w:val="none"/>
        </w:rPr>
        <w:t xml:space="preserve">开标、评审</w:t>
      </w:r>
      <w:r>
        <w:rPr>
          <w:rFonts w:ascii="宋体" w:hAnsi="宋体"/>
          <w:color w:val="000000"/>
          <w:sz w:val="24"/>
          <w:highlight w:val="none"/>
        </w:rPr>
        <w:t xml:space="preserve">过程中，</w:t>
      </w:r>
      <w:r>
        <w:rPr>
          <w:rFonts w:hint="eastAsia" w:ascii="宋体" w:hAnsi="宋体"/>
          <w:color w:val="000000"/>
          <w:sz w:val="24"/>
          <w:highlight w:val="none"/>
        </w:rPr>
        <w:t xml:space="preserve">供应商</w:t>
      </w:r>
      <w:r>
        <w:rPr>
          <w:rFonts w:ascii="宋体" w:hAnsi="宋体"/>
          <w:color w:val="000000"/>
          <w:sz w:val="24"/>
          <w:highlight w:val="none"/>
        </w:rPr>
        <w:t xml:space="preserve">需</w:t>
      </w:r>
      <w:r>
        <w:rPr>
          <w:rFonts w:hint="eastAsia" w:ascii="宋体" w:hAnsi="宋体"/>
          <w:color w:val="000000"/>
          <w:sz w:val="24"/>
          <w:highlight w:val="none"/>
        </w:rPr>
        <w:t xml:space="preserve">要</w:t>
      </w:r>
      <w:r>
        <w:rPr>
          <w:rFonts w:ascii="宋体" w:hAnsi="宋体"/>
          <w:color w:val="000000"/>
          <w:sz w:val="24"/>
          <w:highlight w:val="none"/>
        </w:rPr>
        <w:t xml:space="preserve">保持操作计算机前有相关责任人</w:t>
      </w:r>
      <w:r>
        <w:rPr>
          <w:rFonts w:hint="eastAsia" w:ascii="宋体" w:hAnsi="宋体"/>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000000"/>
          <w:sz w:val="24"/>
          <w:highlight w:val="none"/>
        </w:rPr>
        <w:t xml:space="preserve">。</w:t>
      </w:r>
      <w:r>
        <w:rPr>
          <w:rFonts w:hint="eastAsia"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如果在</w:t>
      </w:r>
      <w:r>
        <w:rPr>
          <w:rFonts w:ascii="宋体" w:hAnsi="宋体"/>
          <w:color w:val="000000"/>
          <w:sz w:val="24"/>
          <w:highlight w:val="none"/>
        </w:rPr>
        <w:t xml:space="preserve">采购</w:t>
      </w:r>
      <w:r>
        <w:rPr>
          <w:rFonts w:hint="eastAsia" w:ascii="宋体" w:hAnsi="宋体"/>
          <w:color w:val="000000"/>
          <w:sz w:val="24"/>
          <w:highlight w:val="none"/>
        </w:rPr>
        <w:t xml:space="preserve">活动</w:t>
      </w:r>
      <w:r>
        <w:rPr>
          <w:rFonts w:ascii="宋体" w:hAnsi="宋体"/>
          <w:color w:val="000000"/>
          <w:sz w:val="24"/>
          <w:highlight w:val="none"/>
        </w:rPr>
        <w:t xml:space="preserve">过程中出现以下情形，导致</w:t>
      </w:r>
      <w:r>
        <w:rPr>
          <w:rFonts w:ascii="宋体" w:hAnsi="宋体"/>
          <w:color w:val="000000"/>
          <w:sz w:val="24"/>
          <w:highlight w:val="none"/>
          <w:lang w:bidi="ar"/>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无法正常运行，或者无法保证</w:t>
      </w:r>
      <w:r>
        <w:rPr>
          <w:rFonts w:hint="eastAsia" w:ascii="宋体" w:hAnsi="宋体"/>
          <w:color w:val="000000"/>
          <w:sz w:val="24"/>
          <w:highlight w:val="none"/>
        </w:rPr>
        <w:t xml:space="preserve">本项目采购活动</w:t>
      </w:r>
      <w:r>
        <w:rPr>
          <w:rFonts w:ascii="宋体" w:hAnsi="宋体"/>
          <w:color w:val="000000"/>
          <w:sz w:val="24"/>
          <w:highlight w:val="none"/>
        </w:rPr>
        <w:t xml:space="preserve">的公平、公正和安全时，</w:t>
      </w:r>
      <w:r>
        <w:rPr>
          <w:rFonts w:hint="eastAsia" w:ascii="宋体" w:hAnsi="宋体"/>
          <w:color w:val="000000"/>
          <w:sz w:val="24"/>
          <w:highlight w:val="none"/>
        </w:rPr>
        <w:t xml:space="preserve">代理机构</w:t>
      </w:r>
      <w:r>
        <w:rPr>
          <w:rFonts w:ascii="宋体" w:hAnsi="宋体"/>
          <w:color w:val="000000"/>
          <w:sz w:val="24"/>
          <w:highlight w:val="none"/>
        </w:rPr>
        <w:t xml:space="preserve">可</w:t>
      </w:r>
      <w:r>
        <w:rPr>
          <w:rFonts w:hint="eastAsia" w:ascii="宋体" w:hAnsi="宋体"/>
          <w:color w:val="000000"/>
          <w:sz w:val="24"/>
          <w:highlight w:val="none"/>
        </w:rPr>
        <w:t xml:space="preserve">以延缓或者暂停采购活动，情况严重的可以终止采购</w:t>
      </w:r>
      <w:r>
        <w:rPr>
          <w:rFonts w:ascii="宋体" w:hAnsi="宋体"/>
          <w:color w:val="000000"/>
          <w:sz w:val="24"/>
          <w:highlight w:val="none"/>
        </w:rPr>
        <w:t xml:space="preserve">活动：</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 1)</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发生故障而无法登录访问的；</w:t>
      </w:r>
      <w:r>
        <w:rPr>
          <w:rFonts w:ascii="宋体" w:hAnsi="宋体"/>
          <w:color w:val="000000"/>
          <w:sz w:val="24"/>
          <w:highlight w:val="none"/>
        </w:rPr>
      </w:r>
      <w:r/>
    </w:p>
    <w:p>
      <w:pPr>
        <w:pStyle w:val="1126"/>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应用或数据库出现错误，不能进行正常操作的；</w:t>
      </w:r>
      <w:r>
        <w:rPr>
          <w:rFonts w:ascii="宋体" w:hAnsi="宋体"/>
          <w:color w:val="000000"/>
          <w:sz w:val="24"/>
          <w:highlight w:val="none"/>
        </w:rPr>
      </w:r>
      <w:r/>
    </w:p>
    <w:p>
      <w:pPr>
        <w:pStyle w:val="1126"/>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发现严重安全漏洞，有潜在泄密危险的；</w:t>
      </w:r>
      <w:r>
        <w:rPr>
          <w:rFonts w:ascii="宋体" w:hAnsi="宋体"/>
          <w:color w:val="000000"/>
          <w:sz w:val="24"/>
          <w:highlight w:val="none"/>
        </w:rPr>
      </w:r>
      <w:r/>
    </w:p>
    <w:p>
      <w:pPr>
        <w:pStyle w:val="1126"/>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病毒发作导致平台</w:t>
      </w:r>
      <w:r>
        <w:rPr>
          <w:rFonts w:hint="eastAsia" w:ascii="宋体" w:hAnsi="宋体"/>
          <w:color w:val="000000"/>
          <w:sz w:val="24"/>
          <w:highlight w:val="none"/>
        </w:rPr>
        <w:t xml:space="preserve">系统</w:t>
      </w:r>
      <w:r>
        <w:rPr>
          <w:rFonts w:ascii="宋体" w:hAnsi="宋体"/>
          <w:color w:val="000000"/>
          <w:sz w:val="24"/>
          <w:highlight w:val="none"/>
        </w:rPr>
        <w:t xml:space="preserve">不能进行正常操作的；</w:t>
      </w:r>
      <w:r>
        <w:rPr>
          <w:rFonts w:ascii="宋体" w:hAnsi="宋体"/>
          <w:color w:val="000000"/>
          <w:sz w:val="24"/>
          <w:highlight w:val="none"/>
        </w:rPr>
      </w:r>
      <w:r/>
    </w:p>
    <w:p>
      <w:pPr>
        <w:pStyle w:val="1126"/>
        <w:ind w:left="357" w:firstLine="84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其他无法保证</w:t>
      </w:r>
      <w:r>
        <w:rPr>
          <w:rFonts w:hint="eastAsia" w:ascii="宋体" w:hAnsi="宋体"/>
          <w:color w:val="000000"/>
          <w:sz w:val="24"/>
          <w:highlight w:val="none"/>
        </w:rPr>
        <w:t xml:space="preserve">本次采购活动</w:t>
      </w:r>
      <w:r>
        <w:rPr>
          <w:rFonts w:ascii="宋体" w:hAnsi="宋体"/>
          <w:color w:val="000000"/>
          <w:sz w:val="24"/>
          <w:highlight w:val="none"/>
        </w:rPr>
        <w:t xml:space="preserve">的公平、公正和安全的情况。</w:t>
      </w:r>
      <w:r>
        <w:rPr>
          <w:rFonts w:hint="eastAsia" w:ascii="宋体" w:hAnsi="宋体"/>
          <w:color w:val="000000"/>
          <w:sz w:val="24"/>
          <w:highlight w:val="none"/>
        </w:rPr>
      </w:r>
      <w:r/>
    </w:p>
    <w:p>
      <w:pPr>
        <w:pStyle w:val="1126"/>
        <w:ind w:left="1134"/>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出现</w:t>
      </w:r>
      <w:r>
        <w:rPr>
          <w:rFonts w:hint="eastAsia" w:ascii="宋体" w:hAnsi="宋体"/>
          <w:color w:val="000000"/>
          <w:sz w:val="24"/>
          <w:highlight w:val="none"/>
        </w:rPr>
        <w:t xml:space="preserve">上述</w:t>
      </w:r>
      <w:r>
        <w:rPr>
          <w:rFonts w:ascii="宋体" w:hAnsi="宋体"/>
          <w:color w:val="000000"/>
          <w:sz w:val="24"/>
          <w:highlight w:val="none"/>
        </w:rPr>
        <w:t xml:space="preserve">情形，不影响采购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代理机构</w:t>
      </w:r>
      <w:r>
        <w:rPr>
          <w:rFonts w:ascii="宋体" w:hAnsi="宋体"/>
          <w:color w:val="000000"/>
          <w:sz w:val="24"/>
          <w:highlight w:val="none"/>
        </w:rPr>
        <w:t xml:space="preserve">可以待上述情形消除后继续组织</w:t>
      </w:r>
      <w:r>
        <w:rPr>
          <w:rFonts w:hint="eastAsia" w:ascii="宋体" w:hAnsi="宋体"/>
          <w:color w:val="000000"/>
          <w:sz w:val="24"/>
          <w:highlight w:val="none"/>
        </w:rPr>
        <w:t xml:space="preserve">不见面</w:t>
      </w:r>
      <w:r>
        <w:rPr>
          <w:rFonts w:ascii="宋体" w:hAnsi="宋体"/>
          <w:color w:val="000000"/>
          <w:sz w:val="24"/>
          <w:highlight w:val="none"/>
        </w:rPr>
        <w:t xml:space="preserve">交易</w:t>
      </w:r>
      <w:r>
        <w:rPr>
          <w:rFonts w:hint="eastAsia" w:ascii="宋体" w:hAnsi="宋体"/>
          <w:color w:val="000000"/>
          <w:sz w:val="24"/>
          <w:highlight w:val="none"/>
        </w:rPr>
        <w:t xml:space="preserve">采购</w:t>
      </w:r>
      <w:r>
        <w:rPr>
          <w:rFonts w:ascii="宋体" w:hAnsi="宋体"/>
          <w:color w:val="000000"/>
          <w:sz w:val="24"/>
          <w:highlight w:val="none"/>
        </w:rPr>
        <w:t xml:space="preserve">活动，也可以决定某些环节以纸质形式进行；影响或可能影响采购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公平、公正性的，应当</w:t>
      </w:r>
      <w:r>
        <w:rPr>
          <w:rFonts w:hint="eastAsia" w:ascii="宋体" w:hAnsi="宋体"/>
          <w:color w:val="000000"/>
          <w:sz w:val="24"/>
          <w:highlight w:val="none"/>
        </w:rPr>
        <w:t xml:space="preserve">终止本次项目，</w:t>
      </w:r>
      <w:r>
        <w:rPr>
          <w:rFonts w:ascii="宋体" w:hAnsi="宋体"/>
          <w:color w:val="000000"/>
          <w:sz w:val="24"/>
          <w:highlight w:val="none"/>
        </w:rPr>
        <w:t xml:space="preserve">重新</w:t>
      </w:r>
      <w:r>
        <w:rPr>
          <w:rFonts w:hint="eastAsia" w:ascii="宋体" w:hAnsi="宋体"/>
          <w:color w:val="000000"/>
          <w:sz w:val="24"/>
          <w:highlight w:val="none"/>
        </w:rPr>
        <w:t xml:space="preserve">组织</w:t>
      </w:r>
      <w:r>
        <w:rPr>
          <w:rFonts w:ascii="宋体" w:hAnsi="宋体"/>
          <w:color w:val="000000"/>
          <w:sz w:val="24"/>
          <w:highlight w:val="none"/>
        </w:rPr>
        <w:t xml:space="preserve">采购。</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资格审查</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见第三章《资格审查》。</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565"/>
      <w:r/>
      <w:bookmarkStart w:id="566" w:name="_Toc151193928"/>
      <w:r/>
      <w:bookmarkStart w:id="567" w:name="_Toc151193854"/>
      <w:r/>
      <w:bookmarkStart w:id="568" w:name="_Toc150774640"/>
      <w:r/>
      <w:bookmarkStart w:id="569" w:name="_Toc149720833"/>
      <w:r/>
      <w:bookmarkStart w:id="570" w:name="_Toc265228378"/>
      <w:r/>
      <w:bookmarkStart w:id="571" w:name="_Toc195842905"/>
      <w:r/>
      <w:bookmarkStart w:id="572" w:name="_Toc150480778"/>
      <w:r/>
      <w:bookmarkStart w:id="573" w:name="_Toc226965813"/>
      <w:r/>
      <w:bookmarkStart w:id="574" w:name="_Toc164608809"/>
      <w:r/>
      <w:bookmarkStart w:id="575" w:name="_Toc164229381"/>
      <w:r/>
      <w:bookmarkStart w:id="576" w:name="_Toc151190167"/>
      <w:r/>
      <w:bookmarkStart w:id="577" w:name="_Toc151193782"/>
      <w:r/>
      <w:bookmarkStart w:id="578" w:name="_Toc127151741"/>
      <w:r/>
      <w:bookmarkStart w:id="579" w:name="_Toc305158808"/>
      <w:r/>
      <w:bookmarkStart w:id="580" w:name="_Toc305158882"/>
      <w:r/>
      <w:bookmarkStart w:id="581" w:name="_Toc151193710"/>
      <w:r/>
      <w:bookmarkStart w:id="582" w:name="_Toc151193638"/>
      <w:r/>
      <w:bookmarkStart w:id="583" w:name="_Toc164229235"/>
      <w:r/>
      <w:bookmarkStart w:id="584" w:name="_Toc226337236"/>
      <w:r/>
      <w:bookmarkStart w:id="585" w:name="_Toc127161454"/>
      <w:r/>
      <w:bookmarkStart w:id="586" w:name="_Toc164608654"/>
      <w:r/>
      <w:bookmarkStart w:id="587" w:name="_Toc150509291"/>
      <w:r/>
      <w:bookmarkStart w:id="588" w:name="_Toc150774745"/>
      <w:r/>
      <w:bookmarkStart w:id="589" w:name="_Toc226309784"/>
      <w:r/>
      <w:bookmarkStart w:id="590" w:name="_Toc127151540"/>
      <w:r/>
      <w:bookmarkStart w:id="591" w:name="_Toc142311042"/>
      <w:r/>
      <w:bookmarkStart w:id="592" w:name="_Toc226965730"/>
      <w:r/>
      <w:bookmarkStart w:id="593" w:name="_Toc164351634"/>
      <w:r/>
      <w:bookmarkStart w:id="594" w:name="_Toc264969230"/>
      <w:r>
        <w:rPr>
          <w:rFonts w:ascii="宋体" w:hAnsi="宋体"/>
          <w:color w:val="000000"/>
          <w:sz w:val="24"/>
          <w:highlight w:val="none"/>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评标委员会根据政府采购有关规定和本次招标采购项目的特点进行组建，并负责具体评标事务，独立履行职责。</w:t>
      </w:r>
      <w:bookmarkStart w:id="595" w:name="_Toc520356166"/>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评审专家须符合</w:t>
      </w:r>
      <w:r>
        <w:rPr>
          <w:rFonts w:hint="eastAsia" w:ascii="宋体" w:hAnsi="宋体"/>
          <w:color w:val="000000"/>
          <w:sz w:val="24"/>
          <w:highlight w:val="none"/>
        </w:rPr>
        <w:t xml:space="preserve">相关</w:t>
      </w:r>
      <w:r>
        <w:rPr>
          <w:rFonts w:ascii="宋体" w:hAnsi="宋体"/>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5"/>
      <w:r/>
      <w:bookmarkStart w:id="596" w:name="_Toc520356169"/>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见第四章《评标程序、评标方法和评标标准》。</w:t>
      </w:r>
      <w:r>
        <w:rPr>
          <w:rFonts w:ascii="宋体" w:hAnsi="宋体"/>
          <w:color w:val="000000"/>
          <w:sz w:val="24"/>
          <w:highlight w:val="none"/>
        </w:rPr>
      </w:r>
      <w:r/>
    </w:p>
    <w:p>
      <w:pPr>
        <w:pStyle w:val="1126"/>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128"/>
        <w:spacing w:before="0" w:line="360" w:lineRule="auto"/>
        <w:rPr>
          <w:rFonts w:ascii="宋体" w:hAnsi="宋体" w:eastAsia="宋体"/>
          <w:color w:val="000000"/>
          <w:sz w:val="28"/>
          <w:highlight w:val="none"/>
        </w:rPr>
      </w:pPr>
      <w:r/>
      <w:bookmarkStart w:id="597" w:name="_Toc305158887"/>
      <w:r/>
      <w:bookmarkStart w:id="598" w:name="_Toc305158813"/>
      <w:r/>
      <w:bookmarkStart w:id="599" w:name="_Toc264969235"/>
      <w:r/>
      <w:bookmarkStart w:id="600" w:name="_Toc150509296"/>
      <w:r/>
      <w:bookmarkStart w:id="601" w:name="_Toc265228383"/>
      <w:r/>
      <w:bookmarkStart w:id="602" w:name="_Toc150774750"/>
      <w:r/>
      <w:bookmarkStart w:id="603" w:name="_Toc226337241"/>
      <w:r/>
      <w:bookmarkStart w:id="604" w:name="_Toc150480783"/>
      <w:r/>
      <w:bookmarkStart w:id="605" w:name="_Toc226965735"/>
      <w:r/>
      <w:bookmarkStart w:id="606" w:name="_Toc151193643"/>
      <w:r/>
      <w:bookmarkStart w:id="607" w:name="_Toc127151545"/>
      <w:r/>
      <w:bookmarkStart w:id="608" w:name="_Toc151193859"/>
      <w:r/>
      <w:bookmarkStart w:id="609" w:name="_Toc151190172"/>
      <w:r/>
      <w:bookmarkStart w:id="610" w:name="_Toc195842910"/>
      <w:r/>
      <w:bookmarkStart w:id="611" w:name="_Toc142311047"/>
      <w:r/>
      <w:bookmarkStart w:id="612" w:name="_Toc226309789"/>
      <w:r/>
      <w:bookmarkStart w:id="613" w:name="_Toc150774645"/>
      <w:r/>
      <w:bookmarkStart w:id="614" w:name="_Toc226965818"/>
      <w:r/>
      <w:bookmarkStart w:id="615" w:name="_Toc151193787"/>
      <w:r/>
      <w:bookmarkStart w:id="616" w:name="_Toc151193715"/>
      <w:r/>
      <w:bookmarkStart w:id="617" w:name="_Toc151193933"/>
      <w:r>
        <w:rPr>
          <w:rFonts w:ascii="宋体" w:hAnsi="宋体" w:eastAsia="宋体"/>
          <w:color w:val="000000"/>
          <w:sz w:val="28"/>
          <w:highlight w:val="none"/>
        </w:rPr>
        <w:t xml:space="preserve">六   </w:t>
      </w:r>
      <w:bookmarkEnd w:id="596"/>
      <w:r>
        <w:rPr>
          <w:rFonts w:ascii="宋体" w:hAnsi="宋体" w:eastAsia="宋体"/>
          <w:color w:val="000000"/>
          <w:sz w:val="28"/>
          <w:highlight w:val="none"/>
        </w:rPr>
        <w:t xml:space="preserve">确定中标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Start w:id="618" w:name="_Toc151193645"/>
      <w:r/>
      <w:bookmarkStart w:id="619" w:name="_Toc226965820"/>
      <w:r/>
      <w:bookmarkStart w:id="620" w:name="_Toc164608661"/>
      <w:r/>
      <w:bookmarkStart w:id="621" w:name="_Toc226337243"/>
      <w:r/>
      <w:bookmarkStart w:id="622" w:name="_Toc142311049"/>
      <w:r/>
      <w:bookmarkStart w:id="623" w:name="_Toc305158815"/>
      <w:r/>
      <w:bookmarkStart w:id="624" w:name="_Toc150774752"/>
      <w:r/>
      <w:bookmarkStart w:id="625" w:name="_Toc150774647"/>
      <w:r/>
      <w:bookmarkStart w:id="626" w:name="_Toc149720840"/>
      <w:r/>
      <w:bookmarkStart w:id="627" w:name="_Toc151190174"/>
      <w:r/>
      <w:bookmarkStart w:id="628" w:name="_Toc127151748"/>
      <w:r/>
      <w:bookmarkStart w:id="629" w:name="_Toc226309791"/>
      <w:r/>
      <w:bookmarkStart w:id="630" w:name="_Toc226965737"/>
      <w:r/>
      <w:bookmarkStart w:id="631" w:name="_Toc265228385"/>
      <w:r/>
      <w:bookmarkStart w:id="632" w:name="_Toc164229242"/>
      <w:r/>
      <w:bookmarkStart w:id="633" w:name="_Toc151193717"/>
      <w:r/>
      <w:bookmarkStart w:id="634" w:name="_Toc151193935"/>
      <w:r/>
      <w:bookmarkStart w:id="635" w:name="_Toc164229388"/>
      <w:r/>
      <w:bookmarkStart w:id="636" w:name="_Toc264969237"/>
      <w:r/>
      <w:bookmarkStart w:id="637" w:name="_Toc150509298"/>
      <w:r/>
      <w:bookmarkStart w:id="638" w:name="_Toc151193789"/>
      <w:r/>
      <w:bookmarkStart w:id="639" w:name="_Toc127161461"/>
      <w:r/>
      <w:bookmarkStart w:id="640" w:name="_Toc164351641"/>
      <w:r/>
      <w:bookmarkStart w:id="641" w:name="_Toc195842912"/>
      <w:r/>
      <w:bookmarkStart w:id="642" w:name="_Toc164608816"/>
      <w:r/>
      <w:bookmarkStart w:id="643" w:name="_Toc151193861"/>
      <w:r/>
      <w:bookmarkStart w:id="644" w:name="_Toc305158889"/>
      <w:r/>
      <w:bookmarkStart w:id="645" w:name="_Toc127151547"/>
      <w:r/>
      <w:bookmarkStart w:id="646" w:name="_Toc150480785"/>
      <w:r>
        <w:rPr>
          <w:rFonts w:ascii="宋体" w:hAnsi="宋体" w:eastAsia="宋体"/>
          <w:color w:val="000000"/>
          <w:sz w:val="28"/>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采购人将在评标报告确定的中标候选人名单中按顺序确定中标人，中标候选人并列的，由采购人</w:t>
      </w:r>
      <w:r>
        <w:rPr>
          <w:rFonts w:hint="eastAsia" w:ascii="宋体" w:hAnsi="宋体"/>
          <w:color w:val="000000"/>
          <w:sz w:val="24"/>
          <w:highlight w:val="none"/>
        </w:rPr>
        <w:t xml:space="preserve">依法</w:t>
      </w:r>
      <w:r>
        <w:rPr>
          <w:rFonts w:ascii="宋体" w:hAnsi="宋体"/>
          <w:color w:val="000000"/>
          <w:sz w:val="24"/>
          <w:highlight w:val="none"/>
        </w:rPr>
        <w:t xml:space="preserve">确定</w:t>
      </w:r>
      <w:r>
        <w:rPr>
          <w:rFonts w:hint="eastAsia" w:ascii="宋体" w:hAnsi="宋体"/>
          <w:color w:val="000000"/>
          <w:sz w:val="24"/>
          <w:highlight w:val="none"/>
        </w:rPr>
        <w:t xml:space="preserve">。</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647" w:name="_Toc150774754"/>
      <w:r/>
      <w:bookmarkStart w:id="648" w:name="_Toc164351643"/>
      <w:r/>
      <w:bookmarkStart w:id="649" w:name="_Toc142311051"/>
      <w:r/>
      <w:bookmarkStart w:id="650" w:name="_Toc150509300"/>
      <w:r/>
      <w:bookmarkStart w:id="651" w:name="_Toc226965822"/>
      <w:r/>
      <w:bookmarkStart w:id="652" w:name="_Toc164229390"/>
      <w:r/>
      <w:bookmarkStart w:id="653" w:name="_Toc305158891"/>
      <w:r/>
      <w:bookmarkStart w:id="654" w:name="_Toc151193937"/>
      <w:r/>
      <w:bookmarkStart w:id="655" w:name="_Ref467306425"/>
      <w:r/>
      <w:bookmarkStart w:id="656" w:name="_Toc520356176"/>
      <w:r/>
      <w:bookmarkStart w:id="657" w:name="_Ref467307090"/>
      <w:r/>
      <w:bookmarkStart w:id="658" w:name="_Toc151193647"/>
      <w:r/>
      <w:bookmarkStart w:id="659" w:name="_Toc264969239"/>
      <w:r/>
      <w:bookmarkStart w:id="660" w:name="_Toc127151750"/>
      <w:r/>
      <w:bookmarkStart w:id="661" w:name="_Toc150774649"/>
      <w:r/>
      <w:bookmarkStart w:id="662" w:name="_Toc149720842"/>
      <w:r/>
      <w:bookmarkStart w:id="663" w:name="_Toc127151549"/>
      <w:r/>
      <w:bookmarkStart w:id="664" w:name="_Toc305158817"/>
      <w:r/>
      <w:bookmarkStart w:id="665" w:name="_Toc226309793"/>
      <w:r/>
      <w:bookmarkStart w:id="666" w:name="_Toc151193863"/>
      <w:r/>
      <w:bookmarkStart w:id="667" w:name="_Toc265228387"/>
      <w:r/>
      <w:bookmarkStart w:id="668" w:name="_Toc164608663"/>
      <w:r/>
      <w:bookmarkStart w:id="669" w:name="_Toc164608818"/>
      <w:r/>
      <w:bookmarkStart w:id="670" w:name="_Toc226965739"/>
      <w:r/>
      <w:bookmarkStart w:id="671" w:name="_Toc151190176"/>
      <w:r/>
      <w:bookmarkStart w:id="672" w:name="_Toc127161463"/>
      <w:r/>
      <w:bookmarkStart w:id="673" w:name="_Toc195842914"/>
      <w:r/>
      <w:bookmarkStart w:id="674" w:name="_Toc150480787"/>
      <w:r/>
      <w:bookmarkStart w:id="675" w:name="_Toc151193719"/>
      <w:r/>
      <w:bookmarkStart w:id="676" w:name="_Toc164229244"/>
      <w:r/>
      <w:bookmarkStart w:id="677" w:name="_Toc226337245"/>
      <w:r/>
      <w:bookmarkStart w:id="678" w:name="_Toc151193791"/>
      <w:r>
        <w:rPr>
          <w:rFonts w:ascii="宋体" w:hAnsi="宋体"/>
          <w:color w:val="000000"/>
          <w:sz w:val="24"/>
          <w:highlight w:val="none"/>
        </w:rPr>
        <w:t xml:space="preserve">中标公告与中标通知书</w:t>
      </w:r>
      <w:bookmarkEnd w:id="653"/>
      <w:r/>
      <w:bookmarkEnd w:id="664"/>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采购人或采购代理机构自中标人确定之日起2个工作日内，</w:t>
      </w:r>
      <w:r>
        <w:rPr>
          <w:rFonts w:ascii="宋体" w:hAnsi="宋体"/>
          <w:color w:val="000000"/>
          <w:sz w:val="24"/>
          <w:highlight w:val="none"/>
        </w:rPr>
        <w:t xml:space="preserve">在</w:t>
      </w:r>
      <w:r>
        <w:rPr>
          <w:rFonts w:hint="eastAsia" w:ascii="宋体" w:hAnsi="宋体"/>
          <w:color w:val="000000"/>
          <w:sz w:val="24"/>
          <w:highlight w:val="none"/>
        </w:rPr>
        <w:t xml:space="preserve">常州市政府采购网</w:t>
      </w:r>
      <w:r>
        <w:rPr>
          <w:rFonts w:ascii="宋体" w:hAnsi="宋体"/>
          <w:color w:val="000000"/>
          <w:sz w:val="24"/>
          <w:highlight w:val="none"/>
        </w:rPr>
        <w:t xml:space="preserve">公告中标结果</w:t>
      </w:r>
      <w:r>
        <w:rPr>
          <w:rFonts w:ascii="宋体" w:hAnsi="宋体"/>
          <w:color w:val="000000"/>
          <w:sz w:val="24"/>
          <w:highlight w:val="none"/>
        </w:rPr>
        <w:t xml:space="preserve">，</w:t>
      </w:r>
      <w:r>
        <w:rPr>
          <w:rFonts w:hint="eastAsia" w:ascii="宋体" w:hAnsi="宋体"/>
          <w:color w:val="000000"/>
          <w:sz w:val="24"/>
          <w:highlight w:val="none"/>
        </w:rPr>
        <w:t xml:space="preserve">同时向中标人发出中标通知书，</w:t>
      </w:r>
      <w:r>
        <w:rPr>
          <w:rFonts w:ascii="宋体" w:hAnsi="宋体"/>
          <w:color w:val="000000"/>
          <w:sz w:val="24"/>
          <w:highlight w:val="none"/>
        </w:rPr>
        <w:t xml:space="preserve">中标公告期限为1个工作日。</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废标</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在招标采购中，出现下列情形之一的，应予废标：</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符合专业条件的供应商或者对招标文件作实质响应的供应商不足三家的；</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出现影响采购公正的违法、违规行为的；</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投标人的报价均超过了采购预算，采购人不能支付的；</w:t>
      </w:r>
      <w:r>
        <w:rPr>
          <w:rFonts w:ascii="宋体" w:hAnsi="宋体"/>
          <w:color w:val="000000"/>
          <w:sz w:val="24"/>
          <w:highlight w:val="none"/>
        </w:rPr>
      </w:r>
      <w:r/>
    </w:p>
    <w:p>
      <w:pPr>
        <w:pStyle w:val="1126"/>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因重大变故，采购任务取消的。</w:t>
      </w:r>
      <w:r>
        <w:rPr>
          <w:rFonts w:hint="eastAsia"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废标后，采购人将废标理由通知所有投标人。</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47"/>
      <w:r/>
      <w:bookmarkEnd w:id="648"/>
      <w:r/>
      <w:bookmarkEnd w:id="649"/>
      <w:r/>
      <w:bookmarkEnd w:id="650"/>
      <w:r/>
      <w:bookmarkEnd w:id="651"/>
      <w:r/>
      <w:bookmarkEnd w:id="652"/>
      <w:r/>
      <w:bookmarkEnd w:id="654"/>
      <w:r/>
      <w:bookmarkEnd w:id="658"/>
      <w:r/>
      <w:bookmarkEnd w:id="659"/>
      <w:r/>
      <w:bookmarkEnd w:id="660"/>
      <w:r/>
      <w:bookmarkEnd w:id="661"/>
      <w:r/>
      <w:bookmarkEnd w:id="662"/>
      <w:r/>
      <w:bookmarkEnd w:id="663"/>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679" w:name="_Toc164351644"/>
      <w:r/>
      <w:bookmarkStart w:id="680" w:name="_Toc150509301"/>
      <w:r/>
      <w:bookmarkStart w:id="681" w:name="_Toc305158818"/>
      <w:r/>
      <w:bookmarkStart w:id="682" w:name="_Toc151193648"/>
      <w:r/>
      <w:bookmarkStart w:id="683" w:name="_Toc226337246"/>
      <w:r/>
      <w:bookmarkStart w:id="684" w:name="_Toc127151751"/>
      <w:r/>
      <w:bookmarkStart w:id="685" w:name="_Toc264969240"/>
      <w:r/>
      <w:bookmarkStart w:id="686" w:name="_Toc195842915"/>
      <w:r/>
      <w:bookmarkStart w:id="687" w:name="_Toc226309794"/>
      <w:r/>
      <w:bookmarkStart w:id="688" w:name="_Ref467307062"/>
      <w:r/>
      <w:bookmarkStart w:id="689" w:name="_Toc265228388"/>
      <w:r/>
      <w:bookmarkStart w:id="690" w:name="_Toc520356175"/>
      <w:r/>
      <w:bookmarkStart w:id="691" w:name="_Toc151193792"/>
      <w:r/>
      <w:bookmarkStart w:id="692" w:name="_Toc150774650"/>
      <w:r/>
      <w:bookmarkStart w:id="693" w:name="_Toc164229391"/>
      <w:r/>
      <w:bookmarkStart w:id="694" w:name="_Ref467306978"/>
      <w:r/>
      <w:bookmarkStart w:id="695" w:name="_Toc151193720"/>
      <w:r/>
      <w:bookmarkStart w:id="696" w:name="_Toc150480788"/>
      <w:r/>
      <w:bookmarkStart w:id="697" w:name="_Toc305158892"/>
      <w:r/>
      <w:bookmarkStart w:id="698" w:name="_Toc142311052"/>
      <w:r/>
      <w:bookmarkStart w:id="699" w:name="_Toc149720843"/>
      <w:r/>
      <w:bookmarkStart w:id="700" w:name="_Toc151190177"/>
      <w:r/>
      <w:bookmarkStart w:id="701" w:name="_Toc127161464"/>
      <w:r/>
      <w:bookmarkStart w:id="702" w:name="_Toc150774755"/>
      <w:r/>
      <w:bookmarkStart w:id="703" w:name="_Ref467307204"/>
      <w:r/>
      <w:bookmarkStart w:id="704" w:name="_Toc127151550"/>
      <w:r/>
      <w:bookmarkStart w:id="705" w:name="_Toc226965740"/>
      <w:r/>
      <w:bookmarkStart w:id="706" w:name="_Toc151193864"/>
      <w:r/>
      <w:bookmarkStart w:id="707" w:name="_Toc164229245"/>
      <w:r/>
      <w:bookmarkStart w:id="708" w:name="_Toc226965823"/>
      <w:r/>
      <w:bookmarkStart w:id="709" w:name="_Toc164608664"/>
      <w:r/>
      <w:bookmarkStart w:id="710" w:name="_Ref467306377"/>
      <w:r/>
      <w:bookmarkStart w:id="711" w:name="_Toc151193938"/>
      <w:r/>
      <w:bookmarkStart w:id="712" w:name="_Toc164608819"/>
      <w:r>
        <w:rPr>
          <w:rFonts w:ascii="宋体" w:hAnsi="宋体"/>
          <w:color w:val="000000"/>
          <w:sz w:val="24"/>
          <w:highlight w:val="none"/>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w:t>
      </w:r>
      <w:r>
        <w:rPr>
          <w:rFonts w:hint="eastAsia" w:ascii="宋体" w:hAnsi="宋体"/>
          <w:color w:val="000000"/>
          <w:sz w:val="24"/>
          <w:highlight w:val="none"/>
        </w:rPr>
        <w:t xml:space="preserve">拒绝</w:t>
      </w:r>
      <w:r>
        <w:rPr>
          <w:rFonts w:ascii="宋体" w:hAnsi="宋体"/>
          <w:color w:val="000000"/>
          <w:sz w:val="24"/>
          <w:highlight w:val="none"/>
        </w:rPr>
        <w:t xml:space="preserve">与采购人签订合同的，采购人</w:t>
      </w:r>
      <w:r>
        <w:rPr>
          <w:rFonts w:hint="eastAsia" w:ascii="宋体" w:hAnsi="宋体"/>
          <w:color w:val="000000"/>
          <w:sz w:val="24"/>
          <w:highlight w:val="none"/>
        </w:rPr>
        <w:t xml:space="preserve">可以</w:t>
      </w:r>
      <w:r>
        <w:rPr>
          <w:rFonts w:ascii="宋体" w:hAnsi="宋体"/>
          <w:color w:val="000000"/>
          <w:sz w:val="24"/>
          <w:highlight w:val="none"/>
        </w:rPr>
        <w:t xml:space="preserve">按照评</w:t>
      </w:r>
      <w:r>
        <w:rPr>
          <w:rFonts w:hint="eastAsia" w:ascii="宋体" w:hAnsi="宋体"/>
          <w:color w:val="000000"/>
          <w:sz w:val="24"/>
          <w:highlight w:val="none"/>
        </w:rPr>
        <w:t xml:space="preserve">标</w:t>
      </w:r>
      <w:r>
        <w:rPr>
          <w:rFonts w:ascii="宋体" w:hAnsi="宋体"/>
          <w:color w:val="000000"/>
          <w:sz w:val="24"/>
          <w:highlight w:val="none"/>
        </w:rPr>
        <w:t xml:space="preserve">报告推荐的中标候选人名单排序，确定下一候选人为中标人，</w:t>
      </w:r>
      <w:r>
        <w:rPr>
          <w:rFonts w:hint="eastAsia" w:ascii="宋体" w:hAnsi="宋体"/>
          <w:color w:val="000000"/>
          <w:sz w:val="24"/>
          <w:highlight w:val="none"/>
        </w:rPr>
        <w:t xml:space="preserve">也可以</w:t>
      </w:r>
      <w:r>
        <w:rPr>
          <w:rFonts w:ascii="宋体" w:hAnsi="宋体"/>
          <w:color w:val="000000"/>
          <w:sz w:val="24"/>
          <w:highlight w:val="none"/>
        </w:rPr>
        <w:t xml:space="preserve">重新开展政府采购活动。</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联合体中标的，联合体各方应当共同与采购人签订合同，就中标项目向采购人承担连带责任。</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政府采购合同不能转包。</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sz w:val="24"/>
          <w:highlight w:val="none"/>
        </w:rPr>
        <w:t xml:space="preserve">，</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。中标人就采购项目和分包项目向采购人负责，分包供应商就分包项目承担责任。</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55"/>
      <w:r/>
      <w:bookmarkEnd w:id="656"/>
      <w:r/>
      <w:bookmarkEnd w:id="657"/>
      <w:r>
        <w:rPr>
          <w:rFonts w:ascii="宋体" w:hAnsi="宋体"/>
          <w:color w:val="000000"/>
          <w:sz w:val="24"/>
          <w:highlight w:val="none"/>
        </w:rPr>
        <w:t xml:space="preserve">询问与质疑</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投标人对政府采购活动事项有疑问的，可依法提出询问，并按《投标人须知资料表》载明的形式送达采购人或采购代理机构。</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采购人或采购代理机构对供应商依法提出的询问，在3个工作日内作出答复，但答复的内容不得涉及商业秘密。</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质疑</w:t>
      </w:r>
      <w:r>
        <w:rPr>
          <w:rFonts w:ascii="宋体" w:hAnsi="宋体"/>
          <w:color w:val="000000"/>
          <w:sz w:val="24"/>
          <w:highlight w:val="none"/>
        </w:rPr>
      </w:r>
      <w:r/>
    </w:p>
    <w:p>
      <w:pPr>
        <w:pStyle w:val="1126"/>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hint="eastAsia" w:ascii="宋体" w:hAnsi="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质疑函须使用财政部制定的范本文件。</w:t>
      </w:r>
      <w:r>
        <w:rPr>
          <w:rFonts w:hint="eastAsia" w:ascii="宋体" w:hAnsi="宋体"/>
          <w:color w:val="000000"/>
          <w:sz w:val="24"/>
          <w:highlight w:val="none"/>
        </w:rPr>
        <w:t xml:space="preserve">（下载网址：</w:t>
      </w:r>
      <w:r>
        <w:rPr>
          <w:rFonts w:ascii="宋体" w:hAnsi="宋体"/>
          <w:color w:val="000000"/>
          <w:highlight w:val="none"/>
        </w:rPr>
        <w:fldChar w:fldCharType="begin"/>
      </w:r>
      <w:r>
        <w:rPr>
          <w:rFonts w:ascii="宋体" w:hAnsi="宋体"/>
          <w:color w:val="000000"/>
          <w:highlight w:val="none"/>
        </w:rPr>
        <w:instrText xml:space="preserve"> HYPERLINK "http://gks.mof.gov.cn/ztztz/zhengfucaigouguanli/201802/t20180201_2804589.htm" </w:instrText>
      </w:r>
      <w:r>
        <w:rPr>
          <w:rFonts w:ascii="宋体" w:hAnsi="宋体"/>
          <w:color w:val="000000"/>
          <w:highlight w:val="none"/>
        </w:rPr>
        <w:fldChar w:fldCharType="separate"/>
      </w:r>
      <w:r>
        <w:rPr>
          <w:rStyle w:val="1204"/>
          <w:rFonts w:ascii="宋体" w:hAnsi="宋体"/>
          <w:color w:val="000000"/>
          <w:highlight w:val="none"/>
        </w:rPr>
        <w:t xml:space="preserve">http://gk</w:t>
      </w:r>
      <w:bookmarkStart w:id="713" w:name="_Hlt100654014"/>
      <w:r>
        <w:rPr>
          <w:rStyle w:val="1204"/>
          <w:rFonts w:ascii="宋体" w:hAnsi="宋体"/>
          <w:color w:val="000000"/>
          <w:highlight w:val="none"/>
        </w:rPr>
        <w:t xml:space="preserve">s</w:t>
      </w:r>
      <w:bookmarkEnd w:id="713"/>
      <w:r>
        <w:rPr>
          <w:rStyle w:val="1204"/>
          <w:rFonts w:ascii="宋体" w:hAnsi="宋体"/>
          <w:color w:val="000000"/>
          <w:highlight w:val="none"/>
        </w:rPr>
        <w:t xml:space="preserve">.m</w:t>
      </w:r>
      <w:bookmarkStart w:id="714" w:name="_Hlt100653993"/>
      <w:r/>
      <w:bookmarkStart w:id="715" w:name="_Hlt100653994"/>
      <w:r>
        <w:rPr>
          <w:rStyle w:val="1204"/>
          <w:rFonts w:ascii="宋体" w:hAnsi="宋体"/>
          <w:color w:val="000000"/>
          <w:highlight w:val="none"/>
        </w:rPr>
        <w:t xml:space="preserve">o</w:t>
      </w:r>
      <w:bookmarkEnd w:id="714"/>
      <w:r/>
      <w:bookmarkEnd w:id="715"/>
      <w:r>
        <w:rPr>
          <w:rStyle w:val="1204"/>
          <w:rFonts w:ascii="宋体" w:hAnsi="宋体"/>
          <w:color w:val="000000"/>
          <w:highlight w:val="none"/>
        </w:rPr>
        <w:t xml:space="preserve">f.gov.cn/ztztz/zhengfucaigouguanli/201802/t20180201_2804589.htm</w:t>
      </w:r>
      <w:r>
        <w:rPr>
          <w:rFonts w:ascii="宋体" w:hAnsi="宋体"/>
          <w:color w:val="000000"/>
          <w:highlight w:val="none"/>
        </w:rPr>
        <w:fldChar w:fldCharType="end"/>
      </w:r>
      <w:r>
        <w:rPr>
          <w:rFonts w:hint="eastAsia" w:ascii="宋体" w:hAnsi="宋体"/>
          <w:color w:val="000000"/>
          <w:highlight w:val="none"/>
        </w:rPr>
        <w:t xml:space="preserve">）</w:t>
      </w:r>
      <w:r>
        <w:rPr>
          <w:rFonts w:ascii="宋体" w:hAnsi="宋体"/>
          <w:color w:val="000000"/>
          <w:sz w:val="24"/>
          <w:highlight w:val="none"/>
        </w:rPr>
      </w:r>
      <w:r/>
    </w:p>
    <w:p>
      <w:pPr>
        <w:pStyle w:val="1126"/>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ascii="宋体" w:hAnsi="宋体"/>
          <w:color w:val="000000"/>
          <w:sz w:val="24"/>
          <w:highlight w:val="none"/>
        </w:rPr>
      </w:r>
      <w:r/>
    </w:p>
    <w:p>
      <w:pPr>
        <w:pStyle w:val="1126"/>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接收询问和质疑的联系部门、联系电话和通讯地址见《投标人须知资料表》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代理费</w:t>
      </w:r>
      <w:r>
        <w:rPr>
          <w:rFonts w:ascii="宋体" w:hAnsi="宋体"/>
          <w:color w:val="000000"/>
          <w:sz w:val="24"/>
          <w:highlight w:val="none"/>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ascii="宋体" w:hAnsi="宋体"/>
          <w:color w:val="000000"/>
          <w:sz w:val="24"/>
          <w:highlight w:val="none"/>
        </w:rPr>
      </w:r>
      <w:r/>
    </w:p>
    <w:p>
      <w:pPr>
        <w:pStyle w:val="1126"/>
        <w:jc w:val="center"/>
        <w:spacing w:line="360" w:lineRule="auto"/>
        <w:rPr>
          <w:rFonts w:ascii="宋体" w:hAnsi="宋体"/>
          <w:b/>
          <w:color w:val="000000"/>
          <w:sz w:val="36"/>
          <w:szCs w:val="36"/>
          <w:highlight w:val="none"/>
        </w:rPr>
        <w:outlineLvl w:val="0"/>
      </w:pPr>
      <w:r/>
      <w:bookmarkStart w:id="716" w:name="_Toc127151554"/>
      <w:r/>
      <w:bookmarkStart w:id="717" w:name="_Toc305158822"/>
      <w:r/>
      <w:bookmarkStart w:id="718" w:name="_Toc150480792"/>
      <w:r/>
      <w:bookmarkStart w:id="719" w:name="_Toc150774759"/>
      <w:r/>
      <w:bookmarkStart w:id="720" w:name="_Toc226965827"/>
      <w:r/>
      <w:bookmarkStart w:id="721" w:name="_Toc353873664"/>
      <w:r/>
      <w:bookmarkStart w:id="722" w:name="_Toc305158896"/>
      <w:r/>
      <w:bookmarkStart w:id="723" w:name="_Toc353825544"/>
      <w:r/>
      <w:bookmarkStart w:id="724" w:name="_Toc142311056"/>
      <w:r/>
      <w:bookmarkStart w:id="725" w:name="_Toc226337250"/>
      <w:r/>
      <w:bookmarkStart w:id="726" w:name="_Toc265228392"/>
      <w:r/>
      <w:bookmarkStart w:id="727" w:name="_Toc264969244"/>
      <w:r/>
      <w:bookmarkStart w:id="728" w:name="_Toc353873934"/>
      <w:r>
        <w:rPr>
          <w:rFonts w:ascii="宋体" w:hAnsi="宋体"/>
          <w:color w:val="000000"/>
          <w:sz w:val="24"/>
          <w:highlight w:val="none"/>
        </w:rPr>
        <w:br w:type="page" w:clear="all"/>
      </w:r>
      <w:bookmarkStart w:id="729" w:name="_Toc83"/>
      <w:r>
        <w:rPr>
          <w:rFonts w:ascii="宋体" w:hAnsi="宋体"/>
          <w:b/>
          <w:color w:val="000000"/>
          <w:sz w:val="36"/>
          <w:szCs w:val="36"/>
          <w:highlight w:val="none"/>
        </w:rPr>
        <w:t xml:space="preserve">第三章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ascii="宋体" w:hAnsi="宋体"/>
          <w:b/>
          <w:color w:val="000000"/>
          <w:sz w:val="36"/>
          <w:szCs w:val="36"/>
          <w:highlight w:val="none"/>
        </w:rPr>
        <w:t xml:space="preserve">资格审查</w:t>
      </w:r>
      <w:bookmarkEnd w:id="729"/>
      <w:r/>
      <w:bookmarkStart w:id="730" w:name="_Toc487900382"/>
      <w:r>
        <w:rPr>
          <w:rFonts w:ascii="宋体" w:hAnsi="宋体"/>
          <w:b/>
          <w:color w:val="000000"/>
          <w:sz w:val="36"/>
          <w:szCs w:val="36"/>
          <w:highlight w:val="none"/>
        </w:rPr>
      </w:r>
      <w:r/>
    </w:p>
    <w:p>
      <w:pPr>
        <w:pStyle w:val="1126"/>
        <w:jc w:val="center"/>
        <w:spacing w:line="360" w:lineRule="auto"/>
        <w:tabs>
          <w:tab w:val="left" w:pos="360" w:leader="none"/>
          <w:tab w:val="left" w:pos="900" w:leader="none"/>
        </w:tabs>
        <w:rPr>
          <w:rFonts w:ascii="宋体" w:hAnsi="宋体"/>
          <w:b/>
          <w:color w:val="000000"/>
          <w:sz w:val="24"/>
          <w:highlight w:val="none"/>
        </w:rPr>
        <w:outlineLvl w:val="1"/>
      </w:pPr>
      <w:r/>
      <w:bookmarkStart w:id="731" w:name="_Toc99301422"/>
      <w:r>
        <w:rPr>
          <w:rFonts w:ascii="宋体" w:hAnsi="宋体"/>
          <w:b/>
          <w:color w:val="000000"/>
          <w:sz w:val="24"/>
          <w:highlight w:val="none"/>
        </w:rPr>
        <w:t xml:space="preserve">一、资格审查程序</w:t>
      </w:r>
      <w:bookmarkEnd w:id="731"/>
      <w:r>
        <w:rPr>
          <w:rFonts w:ascii="宋体" w:hAnsi="宋体"/>
          <w:b/>
          <w:color w:val="000000"/>
          <w:sz w:val="24"/>
          <w:highlight w:val="none"/>
        </w:rPr>
      </w:r>
      <w:r/>
    </w:p>
    <w:p>
      <w:pPr>
        <w:pStyle w:val="1126"/>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1126"/>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1126"/>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126"/>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1126"/>
        <w:jc w:val="left"/>
        <w:widowControl/>
        <w:rPr>
          <w:rFonts w:ascii="宋体" w:hAnsi="宋体"/>
          <w:color w:val="000000"/>
          <w:sz w:val="24"/>
          <w:highlight w:val="none"/>
        </w:rPr>
      </w:pPr>
      <w:r>
        <w:rPr>
          <w:rFonts w:ascii="宋体" w:hAnsi="宋体"/>
          <w:color w:val="000000"/>
          <w:sz w:val="24"/>
          <w:highlight w:val="none"/>
        </w:rPr>
      </w:r>
      <w:r/>
    </w:p>
    <w:p>
      <w:pPr>
        <w:pStyle w:val="1126"/>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pStyle w:val="1126"/>
              <w:jc w:val="center"/>
              <w:tabs>
                <w:tab w:val="left" w:pos="1080" w:leader="none"/>
              </w:tabs>
              <w:rPr>
                <w:rFonts w:ascii="宋体" w:hAnsi="宋体"/>
                <w:b/>
                <w:color w:val="000000"/>
                <w:sz w:val="24"/>
                <w:highlight w:val="none"/>
              </w:rPr>
            </w:pPr>
            <w:r/>
            <w:bookmarkStart w:id="732" w:name="_Hlt487972895"/>
            <w:r/>
            <w:bookmarkEnd w:id="732"/>
            <w:r>
              <w:rPr>
                <w:rFonts w:ascii="宋体" w:hAnsi="宋体"/>
                <w:b/>
                <w:color w:val="000000"/>
                <w:sz w:val="24"/>
                <w:highlight w:val="none"/>
              </w:rPr>
              <w:t xml:space="preserve">序号</w:t>
            </w:r>
            <w:r>
              <w:rPr>
                <w:rFonts w:ascii="宋体" w:hAnsi="宋体"/>
                <w:b/>
                <w:color w:val="000000"/>
                <w:sz w:val="24"/>
                <w:highlight w:val="none"/>
              </w:rPr>
            </w:r>
            <w:r/>
          </w:p>
        </w:tc>
        <w:tc>
          <w:tcPr>
            <w:tcW w:w="1982" w:type="dxa"/>
            <w:vAlign w:val="center"/>
            <w:textDirection w:val="lrTb"/>
            <w:noWrap w:val="false"/>
          </w:tcPr>
          <w:p>
            <w:pPr>
              <w:pStyle w:val="1126"/>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4824" w:type="dxa"/>
            <w:vAlign w:val="center"/>
            <w:textDirection w:val="lrTb"/>
            <w:noWrap w:val="false"/>
          </w:tcPr>
          <w:p>
            <w:pPr>
              <w:pStyle w:val="1126"/>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1638" w:type="dxa"/>
            <w:vAlign w:val="center"/>
            <w:textDirection w:val="lrTb"/>
            <w:noWrap w:val="false"/>
          </w:tcPr>
          <w:p>
            <w:pPr>
              <w:pStyle w:val="1126"/>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468"/>
        </w:trPr>
        <w:tc>
          <w:tcPr>
            <w:tcW w:w="844" w:type="dxa"/>
            <w:vAlign w:val="center"/>
            <w:textDirection w:val="lrTb"/>
            <w:noWrap w:val="false"/>
          </w:tcPr>
          <w:p>
            <w:pPr>
              <w:pStyle w:val="1126"/>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982"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highlight w:val="none"/>
              </w:rPr>
            </w:r>
            <w:r/>
          </w:p>
        </w:tc>
        <w:tc>
          <w:tcPr>
            <w:tcW w:w="4824"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具体规定见第一章《投标邀请》</w:t>
            </w:r>
            <w:r>
              <w:rPr>
                <w:rFonts w:ascii="宋体" w:hAnsi="宋体"/>
                <w:color w:val="000000"/>
                <w:sz w:val="24"/>
                <w:highlight w:val="none"/>
              </w:rPr>
            </w:r>
            <w:r/>
          </w:p>
        </w:tc>
        <w:tc>
          <w:tcPr>
            <w:tcW w:w="1638"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844" w:type="dxa"/>
            <w:vAlign w:val="center"/>
            <w:textDirection w:val="lrTb"/>
            <w:noWrap w:val="false"/>
          </w:tcPr>
          <w:p>
            <w:pPr>
              <w:pStyle w:val="1126"/>
              <w:jc w:val="center"/>
              <w:tabs>
                <w:tab w:val="left" w:pos="1080" w:leader="none"/>
              </w:tabs>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hint="eastAsia" w:ascii="宋体" w:hAnsi="宋体"/>
                <w:color w:val="000000"/>
                <w:sz w:val="24"/>
                <w:highlight w:val="none"/>
              </w:rPr>
            </w:r>
            <w:r/>
          </w:p>
        </w:tc>
        <w:tc>
          <w:tcPr>
            <w:tcW w:w="1982" w:type="dxa"/>
            <w:vAlign w:val="center"/>
            <w:textDirection w:val="lrTb"/>
            <w:noWrap w:val="false"/>
          </w:tcPr>
          <w:p>
            <w:pPr>
              <w:pStyle w:val="1126"/>
              <w:tabs>
                <w:tab w:val="left" w:pos="1080" w:leader="none"/>
              </w:tabs>
              <w:rPr>
                <w:rFonts w:ascii="宋体" w:hAnsi="宋体"/>
                <w:color w:val="000000"/>
                <w:sz w:val="24"/>
                <w:highlight w:val="none"/>
              </w:rPr>
            </w:pPr>
            <w:r>
              <w:rPr>
                <w:rFonts w:hint="eastAsia" w:ascii="宋体" w:hAnsi="宋体"/>
                <w:color w:val="000000"/>
                <w:sz w:val="24"/>
                <w:highlight w:val="none"/>
              </w:rPr>
              <w:t xml:space="preserve">投标人资格声明函</w:t>
            </w:r>
            <w:r>
              <w:rPr>
                <w:rFonts w:ascii="宋体" w:hAnsi="宋体"/>
                <w:color w:val="000000"/>
                <w:sz w:val="24"/>
                <w:highlight w:val="none"/>
              </w:rPr>
            </w:r>
            <w:r/>
          </w:p>
        </w:tc>
        <w:tc>
          <w:tcPr>
            <w:tcW w:w="4824"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提供了符合招标文件要求的《</w:t>
            </w:r>
            <w:r>
              <w:rPr>
                <w:rFonts w:hint="eastAsia" w:ascii="宋体" w:hAnsi="宋体"/>
                <w:color w:val="000000"/>
                <w:sz w:val="24"/>
                <w:highlight w:val="none"/>
              </w:rPr>
              <w:t xml:space="preserve">投标人资格声明函</w:t>
            </w:r>
            <w:r>
              <w:rPr>
                <w:rFonts w:ascii="宋体" w:hAnsi="宋体"/>
                <w:color w:val="000000"/>
                <w:sz w:val="24"/>
                <w:highlight w:val="none"/>
              </w:rPr>
              <w:t xml:space="preserve">》。</w:t>
            </w:r>
            <w:r>
              <w:rPr>
                <w:rFonts w:ascii="宋体" w:hAnsi="宋体"/>
                <w:color w:val="000000"/>
                <w:sz w:val="24"/>
                <w:highlight w:val="none"/>
              </w:rPr>
            </w:r>
            <w:r/>
          </w:p>
        </w:tc>
        <w:tc>
          <w:tcPr>
            <w:tcW w:w="1638"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1126"/>
              <w:jc w:val="center"/>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1-2</w:t>
            </w:r>
            <w:r>
              <w:rPr>
                <w:rFonts w:hint="eastAsia" w:ascii="宋体" w:hAnsi="宋体"/>
                <w:color w:val="000000"/>
                <w:sz w:val="24"/>
                <w:highlight w:val="none"/>
              </w:rPr>
            </w:r>
            <w:r/>
          </w:p>
        </w:tc>
        <w:tc>
          <w:tcPr>
            <w:tcW w:w="1982"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投标人信用记录</w:t>
            </w:r>
            <w:r>
              <w:rPr>
                <w:rFonts w:ascii="宋体" w:hAnsi="宋体"/>
                <w:color w:val="000000"/>
                <w:sz w:val="24"/>
                <w:highlight w:val="none"/>
              </w:rPr>
            </w:r>
            <w:r/>
          </w:p>
        </w:tc>
        <w:tc>
          <w:tcPr>
            <w:tcW w:w="4824"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查询渠道：信用中国网站和中国政府采购网（</w:t>
            </w:r>
            <w:r>
              <w:rPr>
                <w:rFonts w:ascii="宋体" w:hAnsi="宋体"/>
                <w:color w:val="000000"/>
                <w:highlight w:val="none"/>
              </w:rPr>
              <w:t xml:space="preserve">www.creditchina.gov.cn</w:t>
            </w:r>
            <w:r>
              <w:rPr>
                <w:rFonts w:ascii="宋体" w:hAnsi="宋体"/>
                <w:color w:val="000000"/>
                <w:sz w:val="24"/>
                <w:highlight w:val="none"/>
              </w:rPr>
              <w:t xml:space="preserve">、</w:t>
            </w:r>
            <w:r>
              <w:rPr>
                <w:rFonts w:ascii="宋体" w:hAnsi="宋体"/>
                <w:color w:val="000000"/>
                <w:highlight w:val="none"/>
              </w:rPr>
              <w:t xml:space="preserve">www.ccgp.gov.cn</w:t>
            </w:r>
            <w:r>
              <w:rPr>
                <w:rFonts w:ascii="宋体" w:hAnsi="宋体"/>
                <w:color w:val="000000"/>
                <w:sz w:val="24"/>
                <w:highlight w:val="none"/>
              </w:rPr>
              <w:t xml:space="preserve">）；</w:t>
            </w:r>
            <w:r>
              <w:rPr>
                <w:rFonts w:ascii="宋体" w:hAnsi="宋体"/>
                <w:color w:val="000000"/>
                <w:sz w:val="24"/>
                <w:highlight w:val="none"/>
              </w:rPr>
            </w:r>
            <w:r/>
          </w:p>
          <w:p>
            <w:pPr>
              <w:pStyle w:val="1126"/>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截止时点：投标截止时间以后、</w:t>
            </w:r>
            <w:r>
              <w:rPr>
                <w:rFonts w:hint="eastAsia" w:ascii="宋体" w:hAnsi="宋体"/>
                <w:color w:val="000000"/>
                <w:sz w:val="24"/>
                <w:highlight w:val="none"/>
              </w:rPr>
              <w:t xml:space="preserve">资格审查阶段采购人或</w:t>
            </w:r>
            <w:r>
              <w:rPr>
                <w:rFonts w:ascii="宋体" w:hAnsi="宋体"/>
                <w:color w:val="000000"/>
                <w:sz w:val="24"/>
                <w:highlight w:val="none"/>
              </w:rPr>
              <w:t xml:space="preserve">采购代理机构的实际查询时间；</w:t>
            </w:r>
            <w:r>
              <w:rPr>
                <w:rFonts w:ascii="宋体" w:hAnsi="宋体"/>
                <w:color w:val="000000"/>
                <w:sz w:val="24"/>
                <w:highlight w:val="none"/>
              </w:rPr>
            </w:r>
            <w:r/>
          </w:p>
          <w:p>
            <w:pPr>
              <w:pStyle w:val="1126"/>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信用信息查询记录和证据留存具体方式：查询结果网页打印页作为查询记录和证据，与其他采购文件一并保存；</w:t>
            </w:r>
            <w:r>
              <w:rPr>
                <w:rFonts w:ascii="宋体" w:hAnsi="宋体"/>
                <w:color w:val="000000"/>
                <w:sz w:val="24"/>
                <w:highlight w:val="none"/>
              </w:rPr>
            </w:r>
            <w:r/>
          </w:p>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000000"/>
                <w:sz w:val="24"/>
                <w:highlight w:val="none"/>
              </w:rPr>
              <w:t xml:space="preserve">投标无效</w:t>
            </w:r>
            <w:r>
              <w:rPr>
                <w:rFonts w:ascii="宋体" w:hAnsi="宋体"/>
                <w:color w:val="000000"/>
                <w:sz w:val="24"/>
                <w:highlight w:val="none"/>
              </w:rPr>
              <w:t xml:space="preserve">。联合体形式投标的，联合体成员存在不良信用记录，视同联合体存在不良信用记录。</w:t>
            </w:r>
            <w:r>
              <w:rPr>
                <w:rFonts w:ascii="宋体" w:hAnsi="宋体"/>
                <w:color w:val="000000"/>
                <w:sz w:val="24"/>
                <w:highlight w:val="none"/>
              </w:rPr>
            </w:r>
            <w:r/>
          </w:p>
        </w:tc>
        <w:tc>
          <w:tcPr>
            <w:tcW w:w="1638"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无须投标人提供，由</w:t>
            </w:r>
            <w:r>
              <w:rPr>
                <w:rFonts w:hint="eastAsia" w:ascii="宋体" w:hAnsi="宋体"/>
                <w:color w:val="000000"/>
                <w:sz w:val="24"/>
                <w:highlight w:val="none"/>
              </w:rPr>
              <w:t xml:space="preserve">招标</w:t>
            </w:r>
            <w:r>
              <w:rPr>
                <w:rFonts w:ascii="宋体" w:hAnsi="宋体"/>
                <w:color w:val="000000"/>
                <w:sz w:val="24"/>
                <w:highlight w:val="none"/>
              </w:rPr>
              <w:t xml:space="preserve">人查询。</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1126"/>
              <w:jc w:val="center"/>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982"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4824"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具体要求见第一章《投标邀请》</w:t>
            </w:r>
            <w:r>
              <w:rPr>
                <w:rFonts w:ascii="宋体" w:hAnsi="宋体"/>
                <w:color w:val="000000"/>
                <w:sz w:val="24"/>
                <w:highlight w:val="none"/>
              </w:rPr>
            </w:r>
            <w:r/>
          </w:p>
        </w:tc>
        <w:tc>
          <w:tcPr>
            <w:tcW w:w="1638"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844" w:type="dxa"/>
            <w:vAlign w:val="center"/>
            <w:textDirection w:val="lrTb"/>
            <w:noWrap w:val="false"/>
          </w:tcPr>
          <w:p>
            <w:pPr>
              <w:pStyle w:val="1126"/>
              <w:jc w:val="center"/>
              <w:tabs>
                <w:tab w:val="left" w:pos="1080" w:leader="none"/>
              </w:tabs>
              <w:rPr>
                <w:rFonts w:ascii="宋体" w:hAnsi="宋体"/>
                <w:color w:val="000000"/>
                <w:sz w:val="24"/>
                <w:highlight w:val="none"/>
              </w:rPr>
            </w:pPr>
            <w:r>
              <w:rPr>
                <w:rFonts w:ascii="宋体" w:hAnsi="宋体"/>
                <w:color w:val="000000"/>
                <w:sz w:val="24"/>
                <w:highlight w:val="none"/>
              </w:rPr>
              <w:t xml:space="preserve">2-3</w:t>
            </w:r>
            <w:r>
              <w:rPr>
                <w:rFonts w:ascii="宋体" w:hAnsi="宋体"/>
                <w:color w:val="000000"/>
                <w:sz w:val="24"/>
                <w:highlight w:val="none"/>
              </w:rPr>
            </w:r>
            <w:r/>
          </w:p>
        </w:tc>
        <w:tc>
          <w:tcPr>
            <w:tcW w:w="1982"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其它落实政府采购政策的资格要求</w:t>
            </w:r>
            <w:r>
              <w:rPr>
                <w:rFonts w:ascii="宋体" w:hAnsi="宋体"/>
                <w:color w:val="000000"/>
                <w:sz w:val="24"/>
                <w:highlight w:val="none"/>
              </w:rPr>
            </w:r>
            <w:r/>
          </w:p>
        </w:tc>
        <w:tc>
          <w:tcPr>
            <w:tcW w:w="4824"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1638"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1126"/>
              <w:jc w:val="center"/>
              <w:tabs>
                <w:tab w:val="left" w:pos="1080" w:leader="none"/>
              </w:tabs>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982"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本项目的特定资格要求</w:t>
            </w:r>
            <w:r>
              <w:rPr>
                <w:rFonts w:ascii="宋体" w:hAnsi="宋体"/>
                <w:color w:val="000000"/>
                <w:sz w:val="24"/>
                <w:highlight w:val="none"/>
              </w:rPr>
            </w:r>
            <w:r/>
          </w:p>
        </w:tc>
        <w:tc>
          <w:tcPr>
            <w:tcW w:w="4824"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1638"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1134"/>
        </w:trPr>
        <w:tc>
          <w:tcPr>
            <w:tcW w:w="844" w:type="dxa"/>
            <w:vAlign w:val="center"/>
            <w:textDirection w:val="lrTb"/>
            <w:noWrap w:val="false"/>
          </w:tcPr>
          <w:p>
            <w:pPr>
              <w:pStyle w:val="1126"/>
              <w:jc w:val="center"/>
              <w:tabs>
                <w:tab w:val="left" w:pos="1080" w:leader="none"/>
              </w:tabs>
              <w:rPr>
                <w:rFonts w:ascii="宋体" w:hAnsi="宋体"/>
                <w:color w:val="000000"/>
                <w:sz w:val="24"/>
                <w:highlight w:val="none"/>
              </w:rPr>
            </w:pPr>
            <w:r>
              <w:rPr>
                <w:rFonts w:ascii="宋体" w:hAnsi="宋体"/>
                <w:color w:val="000000"/>
                <w:sz w:val="24"/>
                <w:highlight w:val="none"/>
              </w:rPr>
              <w:t xml:space="preserve">3-1</w:t>
            </w:r>
            <w:r>
              <w:rPr>
                <w:rFonts w:ascii="宋体" w:hAnsi="宋体"/>
                <w:color w:val="000000"/>
                <w:sz w:val="24"/>
                <w:highlight w:val="none"/>
              </w:rPr>
            </w:r>
            <w:r/>
          </w:p>
        </w:tc>
        <w:tc>
          <w:tcPr>
            <w:tcW w:w="1982"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是否接受联合体投标</w:t>
            </w:r>
            <w:r>
              <w:rPr>
                <w:rFonts w:ascii="宋体" w:hAnsi="宋体"/>
                <w:color w:val="000000"/>
                <w:sz w:val="24"/>
                <w:highlight w:val="none"/>
              </w:rPr>
            </w:r>
            <w:r/>
          </w:p>
        </w:tc>
        <w:tc>
          <w:tcPr>
            <w:tcW w:w="4824"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本项目不接受联合体投标</w:t>
            </w:r>
            <w:r>
              <w:rPr>
                <w:rFonts w:hint="eastAsia" w:ascii="宋体" w:hAnsi="宋体"/>
                <w:color w:val="000000"/>
                <w:sz w:val="24"/>
                <w:highlight w:val="none"/>
              </w:rPr>
              <w:t xml:space="preserve">时</w:t>
            </w:r>
            <w:r>
              <w:rPr>
                <w:rFonts w:ascii="宋体" w:hAnsi="宋体"/>
                <w:color w:val="000000"/>
                <w:sz w:val="24"/>
                <w:highlight w:val="none"/>
              </w:rPr>
              <w:t xml:space="preserve">，</w:t>
            </w:r>
            <w:r>
              <w:rPr>
                <w:rFonts w:hint="eastAsia" w:ascii="宋体" w:hAnsi="宋体"/>
                <w:color w:val="000000"/>
                <w:sz w:val="24"/>
                <w:highlight w:val="none"/>
              </w:rPr>
              <w:t xml:space="preserve">投标人不得为联合体</w:t>
            </w:r>
            <w:r>
              <w:rPr>
                <w:rFonts w:ascii="宋体" w:hAnsi="宋体"/>
                <w:color w:val="000000"/>
                <w:sz w:val="24"/>
                <w:highlight w:val="none"/>
              </w:rPr>
              <w:t xml:space="preserve">。</w:t>
            </w:r>
            <w:r>
              <w:rPr>
                <w:rFonts w:ascii="宋体" w:hAnsi="宋体"/>
                <w:color w:val="000000"/>
                <w:sz w:val="24"/>
                <w:highlight w:val="none"/>
              </w:rPr>
            </w:r>
            <w:r/>
          </w:p>
        </w:tc>
        <w:tc>
          <w:tcPr>
            <w:tcW w:w="1638"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0"/>
        </w:trPr>
        <w:tc>
          <w:tcPr>
            <w:tcW w:w="844" w:type="dxa"/>
            <w:vAlign w:val="center"/>
            <w:textDirection w:val="lrTb"/>
            <w:noWrap w:val="false"/>
          </w:tcPr>
          <w:p>
            <w:pPr>
              <w:pStyle w:val="1126"/>
              <w:jc w:val="center"/>
              <w:tabs>
                <w:tab w:val="left" w:pos="1080" w:leader="none"/>
              </w:tabs>
              <w:rPr>
                <w:rFonts w:hint="eastAsia" w:ascii="宋体" w:hAnsi="宋体"/>
                <w:color w:val="000000"/>
                <w:sz w:val="24"/>
                <w:highlight w:val="none"/>
              </w:rPr>
            </w:pPr>
            <w:r>
              <w:rPr>
                <w:rFonts w:ascii="宋体" w:hAnsi="宋体"/>
                <w:color w:val="000000"/>
                <w:sz w:val="24"/>
                <w:highlight w:val="none"/>
              </w:rPr>
              <w:t xml:space="preserve">3-2</w:t>
            </w:r>
            <w:r>
              <w:rPr>
                <w:rFonts w:hint="eastAsia" w:ascii="宋体" w:hAnsi="宋体"/>
                <w:color w:val="000000"/>
                <w:sz w:val="24"/>
                <w:highlight w:val="none"/>
              </w:rPr>
            </w:r>
            <w:r/>
          </w:p>
        </w:tc>
        <w:tc>
          <w:tcPr>
            <w:tcW w:w="1982"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其他特定资格要求</w:t>
            </w:r>
            <w:r>
              <w:rPr>
                <w:rFonts w:ascii="宋体" w:hAnsi="宋体"/>
                <w:color w:val="000000"/>
                <w:sz w:val="24"/>
                <w:highlight w:val="none"/>
              </w:rPr>
            </w:r>
            <w:r/>
          </w:p>
        </w:tc>
        <w:tc>
          <w:tcPr>
            <w:tcW w:w="4824" w:type="dxa"/>
            <w:vAlign w:val="center"/>
            <w:textDirection w:val="lrTb"/>
            <w:noWrap w:val="false"/>
          </w:tcPr>
          <w:p>
            <w:pPr>
              <w:pStyle w:val="1126"/>
              <w:tabs>
                <w:tab w:val="left" w:pos="1080" w:leader="none"/>
              </w:tabs>
              <w:rPr>
                <w:rFonts w:hint="eastAsia" w:ascii="宋体" w:hAnsi="宋体"/>
                <w:b/>
                <w:bCs/>
                <w:color w:val="000000"/>
                <w:sz w:val="24"/>
                <w:highlight w:val="none"/>
              </w:rPr>
            </w:pPr>
            <w:r>
              <w:rPr>
                <w:rFonts w:hint="eastAsia" w:ascii="宋体" w:hAnsi="宋体"/>
                <w:b/>
                <w:bCs/>
                <w:color w:val="000000"/>
                <w:sz w:val="24"/>
                <w:highlight w:val="none"/>
              </w:rPr>
              <w:t xml:space="preserve">1.满足以下两项中任意一项要求：</w:t>
            </w:r>
            <w:r>
              <w:rPr>
                <w:rFonts w:hint="eastAsia" w:ascii="宋体" w:hAnsi="宋体"/>
                <w:b/>
                <w:bCs/>
                <w:color w:val="000000"/>
                <w:sz w:val="24"/>
                <w:highlight w:val="none"/>
              </w:rPr>
            </w:r>
            <w:r/>
          </w:p>
          <w:p>
            <w:pPr>
              <w:pStyle w:val="1126"/>
              <w:tabs>
                <w:tab w:val="left" w:pos="1080" w:leader="none"/>
              </w:tabs>
              <w:rPr>
                <w:rFonts w:hint="eastAsia" w:ascii="宋体" w:hAnsi="宋体"/>
                <w:b/>
                <w:bCs/>
                <w:color w:val="000000"/>
                <w:sz w:val="24"/>
                <w:highlight w:val="none"/>
              </w:rPr>
            </w:pPr>
            <w:r>
              <w:rPr>
                <w:rFonts w:hint="eastAsia" w:ascii="宋体" w:hAnsi="宋体"/>
                <w:b/>
                <w:bCs/>
                <w:color w:val="000000"/>
                <w:sz w:val="24"/>
                <w:highlight w:val="none"/>
              </w:rPr>
              <w:t xml:space="preserve">（1）投标人为所投产品制造商：具有有效期内的医疗器械生产许可证（或备案证）；</w:t>
            </w:r>
            <w:r>
              <w:rPr>
                <w:rFonts w:hint="eastAsia" w:ascii="宋体" w:hAnsi="宋体"/>
                <w:b/>
                <w:bCs/>
                <w:color w:val="000000"/>
                <w:sz w:val="24"/>
                <w:highlight w:val="none"/>
              </w:rPr>
            </w:r>
            <w:r/>
          </w:p>
          <w:p>
            <w:pPr>
              <w:pStyle w:val="1126"/>
              <w:tabs>
                <w:tab w:val="left" w:pos="1080" w:leader="none"/>
              </w:tabs>
              <w:rPr>
                <w:rFonts w:hint="eastAsia" w:ascii="宋体" w:hAnsi="宋体"/>
                <w:b/>
                <w:bCs/>
                <w:color w:val="000000"/>
                <w:sz w:val="24"/>
                <w:highlight w:val="none"/>
              </w:rPr>
            </w:pPr>
            <w:r>
              <w:rPr>
                <w:rFonts w:hint="eastAsia" w:ascii="宋体" w:hAnsi="宋体"/>
                <w:b/>
                <w:bCs/>
                <w:color w:val="000000"/>
                <w:sz w:val="24"/>
                <w:highlight w:val="none"/>
              </w:rPr>
              <w:t xml:space="preserve">（2）投标人为所投产品经销商：具有有效期内的医疗器械经营许可证（或备案证）；</w:t>
            </w:r>
            <w:r>
              <w:rPr>
                <w:rFonts w:hint="eastAsia" w:ascii="宋体" w:hAnsi="宋体"/>
                <w:b/>
                <w:bCs/>
                <w:color w:val="000000"/>
                <w:sz w:val="24"/>
                <w:highlight w:val="none"/>
              </w:rPr>
            </w:r>
            <w:r/>
          </w:p>
          <w:p>
            <w:pPr>
              <w:pStyle w:val="1126"/>
              <w:tabs>
                <w:tab w:val="left" w:pos="1080" w:leader="none"/>
              </w:tabs>
              <w:rPr>
                <w:rFonts w:hint="eastAsia" w:ascii="宋体" w:hAnsi="宋体"/>
                <w:b/>
                <w:bCs/>
                <w:color w:val="000000"/>
                <w:sz w:val="24"/>
                <w:highlight w:val="none"/>
              </w:rPr>
            </w:pPr>
            <w:r>
              <w:rPr>
                <w:rFonts w:hint="eastAsia" w:ascii="宋体" w:hAnsi="宋体"/>
                <w:b/>
                <w:bCs/>
                <w:color w:val="000000"/>
                <w:sz w:val="24"/>
                <w:highlight w:val="none"/>
              </w:rPr>
              <w:t xml:space="preserve">2.投标人提供所投产品的有效医疗器械注册证（或备案证）。</w:t>
            </w:r>
            <w:r>
              <w:rPr>
                <w:rFonts w:hint="eastAsia" w:ascii="宋体" w:hAnsi="宋体"/>
                <w:b/>
                <w:bCs/>
                <w:color w:val="000000"/>
                <w:sz w:val="24"/>
                <w:highlight w:val="none"/>
              </w:rPr>
            </w:r>
            <w:r/>
          </w:p>
          <w:p>
            <w:pPr>
              <w:pStyle w:val="1126"/>
              <w:tabs>
                <w:tab w:val="left" w:pos="1080" w:leader="none"/>
              </w:tabs>
              <w:rPr>
                <w:color w:val="000000"/>
                <w:highlight w:val="none"/>
              </w:rPr>
            </w:pPr>
            <w:r>
              <w:rPr>
                <w:rFonts w:hint="eastAsia" w:ascii="宋体" w:hAnsi="宋体"/>
                <w:b/>
                <w:bCs/>
                <w:color w:val="000000"/>
                <w:sz w:val="24"/>
                <w:highlight w:val="none"/>
              </w:rPr>
              <w:t xml:space="preserve">3.本项目接受进口产品，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color w:val="000000"/>
                <w:highlight w:val="none"/>
              </w:rPr>
            </w:r>
            <w:r/>
          </w:p>
        </w:tc>
        <w:tc>
          <w:tcPr>
            <w:tcW w:w="1638" w:type="dxa"/>
            <w:vAlign w:val="center"/>
            <w:textDirection w:val="lrTb"/>
            <w:noWrap w:val="false"/>
          </w:tcPr>
          <w:p>
            <w:pPr>
              <w:pStyle w:val="1126"/>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bl>
    <w:p>
      <w:pPr>
        <w:pStyle w:val="1126"/>
        <w:jc w:val="left"/>
        <w:widowControl/>
        <w:rPr>
          <w:rFonts w:ascii="宋体" w:hAnsi="宋体"/>
          <w:color w:val="000000"/>
          <w:sz w:val="24"/>
          <w:highlight w:val="none"/>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30"/>
      <w:r/>
      <w:bookmarkStart w:id="733" w:name="_Toc127151779"/>
      <w:r/>
      <w:bookmarkStart w:id="734" w:name="_Toc226965858"/>
      <w:r/>
      <w:bookmarkStart w:id="735" w:name="_Toc353825550"/>
      <w:r/>
      <w:bookmarkStart w:id="736" w:name="_Toc127161490"/>
      <w:r/>
      <w:bookmarkStart w:id="737" w:name="_Toc353873940"/>
      <w:r>
        <w:rPr>
          <w:rFonts w:ascii="宋体" w:hAnsi="宋体"/>
          <w:color w:val="000000"/>
          <w:sz w:val="24"/>
          <w:highlight w:val="none"/>
        </w:rPr>
        <w:br w:type="page" w:clear="all"/>
      </w:r>
      <w:r>
        <w:rPr>
          <w:rFonts w:ascii="宋体" w:hAnsi="宋体"/>
          <w:color w:val="000000"/>
          <w:sz w:val="24"/>
          <w:highlight w:val="none"/>
        </w:rPr>
      </w:r>
      <w:r/>
    </w:p>
    <w:p>
      <w:pPr>
        <w:pStyle w:val="1126"/>
        <w:jc w:val="center"/>
        <w:spacing w:line="360" w:lineRule="auto"/>
        <w:rPr>
          <w:rFonts w:ascii="宋体" w:hAnsi="宋体"/>
          <w:b/>
          <w:color w:val="000000"/>
          <w:sz w:val="36"/>
          <w:szCs w:val="36"/>
          <w:highlight w:val="none"/>
        </w:rPr>
        <w:outlineLvl w:val="0"/>
      </w:pPr>
      <w:r/>
      <w:bookmarkStart w:id="738" w:name="_Toc29670"/>
      <w:r>
        <w:rPr>
          <w:rFonts w:ascii="宋体" w:hAnsi="宋体"/>
          <w:b/>
          <w:color w:val="000000"/>
          <w:sz w:val="36"/>
          <w:szCs w:val="36"/>
          <w:highlight w:val="none"/>
        </w:rPr>
        <w:t xml:space="preserve">第四章   </w:t>
      </w:r>
      <w:bookmarkEnd w:id="733"/>
      <w:r/>
      <w:bookmarkEnd w:id="734"/>
      <w:r/>
      <w:bookmarkEnd w:id="735"/>
      <w:r/>
      <w:bookmarkEnd w:id="736"/>
      <w:r/>
      <w:bookmarkEnd w:id="737"/>
      <w:r/>
      <w:bookmarkStart w:id="739" w:name="_Hlt164229061"/>
      <w:r/>
      <w:bookmarkEnd w:id="739"/>
      <w:r>
        <w:rPr>
          <w:rFonts w:ascii="宋体" w:hAnsi="宋体"/>
          <w:b/>
          <w:color w:val="000000"/>
          <w:sz w:val="36"/>
          <w:szCs w:val="36"/>
          <w:highlight w:val="none"/>
        </w:rPr>
        <w:t xml:space="preserve">评标程序、评标方法和评标标准</w:t>
      </w:r>
      <w:bookmarkEnd w:id="738"/>
      <w:r>
        <w:rPr>
          <w:rFonts w:ascii="宋体" w:hAnsi="宋体"/>
          <w:b/>
          <w:color w:val="000000"/>
          <w:sz w:val="36"/>
          <w:szCs w:val="36"/>
          <w:highlight w:val="none"/>
        </w:rPr>
      </w:r>
      <w:r/>
    </w:p>
    <w:p>
      <w:pPr>
        <w:pStyle w:val="1126"/>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1126"/>
        <w:numPr>
          <w:ilvl w:val="0"/>
          <w:numId w:val="12"/>
        </w:numPr>
        <w:spacing w:line="360" w:lineRule="auto"/>
        <w:tabs>
          <w:tab w:val="left" w:pos="360" w:leader="none"/>
          <w:tab w:val="left" w:pos="900" w:leader="none"/>
        </w:tabs>
        <w:rPr>
          <w:rFonts w:ascii="宋体" w:hAnsi="宋体"/>
          <w:color w:val="000000"/>
          <w:sz w:val="24"/>
          <w:highlight w:val="none"/>
        </w:rPr>
        <w:outlineLvl w:val="1"/>
      </w:pPr>
      <w:r/>
      <w:bookmarkStart w:id="740" w:name="_Toc151193783"/>
      <w:r/>
      <w:bookmarkStart w:id="741" w:name="_Toc151193929"/>
      <w:r/>
      <w:bookmarkStart w:id="742" w:name="_Toc164351635"/>
      <w:r/>
      <w:bookmarkStart w:id="743" w:name="_Toc164608655"/>
      <w:r/>
      <w:bookmarkStart w:id="744" w:name="_Toc127151541"/>
      <w:r/>
      <w:bookmarkStart w:id="745" w:name="_Toc226337237"/>
      <w:r/>
      <w:bookmarkStart w:id="746" w:name="_Toc226965731"/>
      <w:r/>
      <w:bookmarkStart w:id="747" w:name="_Toc151193711"/>
      <w:r/>
      <w:bookmarkStart w:id="748" w:name="_Toc265228379"/>
      <w:r/>
      <w:bookmarkStart w:id="749" w:name="_Toc226965814"/>
      <w:r/>
      <w:bookmarkStart w:id="750" w:name="_Toc127161455"/>
      <w:r/>
      <w:bookmarkStart w:id="751" w:name="_Toc164229382"/>
      <w:r/>
      <w:bookmarkStart w:id="752" w:name="_Toc149720834"/>
      <w:r/>
      <w:bookmarkStart w:id="753" w:name="_Toc164229236"/>
      <w:r/>
      <w:bookmarkStart w:id="754" w:name="_Toc305158883"/>
      <w:r/>
      <w:bookmarkStart w:id="755" w:name="_Toc264969231"/>
      <w:r/>
      <w:bookmarkStart w:id="756" w:name="_Toc195842906"/>
      <w:r/>
      <w:bookmarkStart w:id="757" w:name="_Toc150774641"/>
      <w:r/>
      <w:bookmarkStart w:id="758" w:name="_Toc150774746"/>
      <w:r/>
      <w:bookmarkStart w:id="759" w:name="_Toc151190168"/>
      <w:r/>
      <w:bookmarkStart w:id="760" w:name="_Toc226309785"/>
      <w:r/>
      <w:bookmarkStart w:id="761" w:name="_Toc150480779"/>
      <w:r/>
      <w:bookmarkStart w:id="762" w:name="_Toc305158809"/>
      <w:r/>
      <w:bookmarkStart w:id="763" w:name="_Toc151193855"/>
      <w:r/>
      <w:bookmarkStart w:id="764" w:name="_Toc164608810"/>
      <w:r/>
      <w:bookmarkStart w:id="765" w:name="_Toc142311043"/>
      <w:r/>
      <w:bookmarkStart w:id="766" w:name="_Toc151193639"/>
      <w:r/>
      <w:bookmarkStart w:id="767" w:name="_Toc127151742"/>
      <w:r/>
      <w:bookmarkStart w:id="768" w:name="_Toc150509292"/>
      <w:r/>
      <w:bookmarkStart w:id="769" w:name="_Toc353825551"/>
      <w:r/>
      <w:bookmarkStart w:id="770" w:name="_Toc353873941"/>
      <w:r/>
      <w:bookmarkStart w:id="771" w:name="_Toc195842920"/>
      <w:r/>
      <w:bookmarkStart w:id="772" w:name="_Toc226337251"/>
      <w:r/>
      <w:bookmarkStart w:id="773" w:name="_Toc305158897"/>
      <w:r/>
      <w:bookmarkStart w:id="774" w:name="_Toc265228393"/>
      <w:r/>
      <w:bookmarkStart w:id="775" w:name="_Toc305158823"/>
      <w:r/>
      <w:bookmarkStart w:id="776" w:name="_Toc150480793"/>
      <w:r/>
      <w:bookmarkStart w:id="777" w:name="_Toc226965828"/>
      <w:r/>
      <w:bookmarkStart w:id="778" w:name="_Toc353873665"/>
      <w:r/>
      <w:bookmarkStart w:id="779" w:name="_Toc150774760"/>
      <w:r/>
      <w:bookmarkStart w:id="780" w:name="_Toc353873935"/>
      <w:r/>
      <w:bookmarkStart w:id="781" w:name="_Toc264969245"/>
      <w:r/>
      <w:bookmarkStart w:id="782" w:name="_Toc127151555"/>
      <w:r/>
      <w:bookmarkStart w:id="783" w:name="_Toc353825545"/>
      <w:r/>
      <w:bookmarkStart w:id="784" w:name="_Toc142311057"/>
      <w:r>
        <w:rPr>
          <w:rFonts w:ascii="宋体" w:hAnsi="宋体"/>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评标委员会对资格审查合格的投标人的投标文件进行符合性审查，以确定其是否满足招标文件的实质性要求。</w:t>
      </w:r>
      <w:bookmarkStart w:id="785" w:name="_Toc520356167"/>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评标委员会根据《符合性审查</w:t>
      </w:r>
      <w:r>
        <w:rPr>
          <w:rFonts w:hint="eastAsia" w:ascii="宋体" w:hAnsi="宋体"/>
          <w:color w:val="000000"/>
          <w:sz w:val="24"/>
          <w:highlight w:val="none"/>
        </w:rPr>
        <w:t xml:space="preserve">要求</w:t>
      </w:r>
      <w:r>
        <w:rPr>
          <w:rFonts w:ascii="宋体" w:hAnsi="宋体"/>
          <w:color w:val="000000"/>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000000"/>
          <w:sz w:val="24"/>
          <w:highlight w:val="none"/>
        </w:rPr>
        <w:t xml:space="preserve">投标人《商务技术文件》有任何一项不符合</w:t>
      </w:r>
      <w:r>
        <w:rPr>
          <w:rFonts w:ascii="宋体" w:hAnsi="宋体"/>
          <w:color w:val="000000"/>
          <w:sz w:val="24"/>
          <w:highlight w:val="none"/>
        </w:rPr>
        <w:t xml:space="preserve">《符合性审查</w:t>
      </w:r>
      <w:r>
        <w:rPr>
          <w:rFonts w:hint="eastAsia" w:ascii="宋体" w:hAnsi="宋体"/>
          <w:color w:val="000000"/>
          <w:sz w:val="24"/>
          <w:highlight w:val="none"/>
        </w:rPr>
        <w:t xml:space="preserve">要求</w:t>
      </w:r>
      <w:r>
        <w:rPr>
          <w:rFonts w:ascii="宋体" w:hAnsi="宋体"/>
          <w:color w:val="000000"/>
          <w:sz w:val="24"/>
          <w:highlight w:val="none"/>
        </w:rPr>
        <w:t xml:space="preserve">》</w:t>
      </w:r>
      <w:bookmarkEnd w:id="785"/>
      <w:r>
        <w:rPr>
          <w:rFonts w:hint="eastAsia" w:ascii="宋体" w:hAnsi="宋体"/>
          <w:color w:val="000000"/>
          <w:sz w:val="24"/>
          <w:highlight w:val="none"/>
        </w:rPr>
        <w:t xml:space="preserve">要求的，</w:t>
      </w:r>
      <w:r>
        <w:rPr>
          <w:rFonts w:hint="eastAsia" w:ascii="宋体" w:hAnsi="宋体"/>
          <w:b/>
          <w:color w:val="000000"/>
          <w:sz w:val="24"/>
          <w:highlight w:val="none"/>
        </w:rPr>
        <w:t xml:space="preserve">投标无效</w:t>
      </w:r>
      <w:r>
        <w:rPr>
          <w:rFonts w:hint="eastAsia" w:ascii="宋体" w:hAnsi="宋体"/>
          <w:color w:val="000000"/>
          <w:sz w:val="24"/>
          <w:highlight w:val="none"/>
        </w:rPr>
        <w:t xml:space="preserve">。</w:t>
      </w:r>
      <w:r>
        <w:rPr>
          <w:rFonts w:ascii="宋体" w:hAnsi="宋体"/>
          <w:color w:val="000000"/>
          <w:sz w:val="24"/>
          <w:highlight w:val="none"/>
        </w:rPr>
      </w:r>
      <w:r/>
    </w:p>
    <w:p>
      <w:pPr>
        <w:pStyle w:val="1126"/>
        <w:ind w:hanging="357"/>
        <w:jc w:val="center"/>
        <w:spacing w:line="360" w:lineRule="auto"/>
        <w:tabs>
          <w:tab w:val="left" w:pos="900" w:leader="none"/>
          <w:tab w:val="left" w:pos="1080" w:leader="none"/>
          <w:tab w:val="left" w:pos="1589" w:leader="none"/>
        </w:tabs>
        <w:rPr>
          <w:rFonts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26"/>
              <w:jc w:val="center"/>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813" w:type="dxa"/>
            <w:vAlign w:val="center"/>
            <w:textDirection w:val="lrTb"/>
            <w:noWrap w:val="false"/>
          </w:tcPr>
          <w:p>
            <w:pPr>
              <w:pStyle w:val="1126"/>
              <w:jc w:val="center"/>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6725" w:type="dxa"/>
            <w:vAlign w:val="center"/>
            <w:textDirection w:val="lrTb"/>
            <w:noWrap w:val="false"/>
          </w:tcPr>
          <w:p>
            <w:pPr>
              <w:pStyle w:val="1126"/>
              <w:jc w:val="center"/>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hint="eastAsia" w:ascii="宋体" w:hAnsi="宋体"/>
                <w:color w:val="000000"/>
                <w:sz w:val="24"/>
                <w:highlight w:val="none"/>
              </w:rPr>
            </w:r>
            <w:r>
              <w:rPr>
                <w:rFonts w:ascii="SimSun" w:hAnsi="SimSun" w:eastAsia="SimSun" w:cs="SimSun"/>
                <w:color w:val="000000"/>
                <w:sz w:val="24"/>
              </w:rPr>
              <w:t xml:space="preserve">投标函、法定代表人资格证明书、政府采购供应商信用承诺书和供应商管理关系或控股关系信息情况表</w:t>
            </w:r>
            <w:r>
              <w:rPr>
                <w:rFonts w:hint="eastAsia"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r>
            <w:r>
              <w:rPr>
                <w:rFonts w:ascii="SimSun" w:hAnsi="SimSun" w:eastAsia="SimSun" w:cs="SimSun"/>
                <w:color w:val="000000"/>
                <w:sz w:val="24"/>
              </w:rPr>
              <w:t xml:space="preserve">按招标文件要求提供投标函、法定代表人资格证明书、政府采购供应商信用承诺书和供应商管理关系或控股关系信息情况表；</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投标完整性</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hint="eastAsia" w:ascii="宋体" w:hAnsi="宋体"/>
                <w:color w:val="000000"/>
                <w:sz w:val="24"/>
                <w:highlight w:val="none"/>
              </w:rPr>
              <w:t xml:space="preserve">未</w:t>
            </w:r>
            <w:r>
              <w:rPr>
                <w:rFonts w:ascii="宋体" w:hAnsi="宋体"/>
                <w:color w:val="000000"/>
                <w:sz w:val="24"/>
                <w:highlight w:val="none"/>
              </w:rPr>
              <w:t xml:space="preserve">将一个采购包中的内容拆开投标；</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投标报价</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投标报价</w:t>
            </w:r>
            <w:r>
              <w:rPr>
                <w:rFonts w:hint="eastAsia" w:ascii="宋体" w:hAnsi="宋体"/>
                <w:color w:val="000000"/>
                <w:sz w:val="24"/>
                <w:highlight w:val="none"/>
              </w:rPr>
              <w:t xml:space="preserve">未</w:t>
            </w:r>
            <w:r>
              <w:rPr>
                <w:rFonts w:ascii="宋体" w:hAnsi="宋体"/>
                <w:color w:val="000000"/>
                <w:sz w:val="24"/>
                <w:highlight w:val="none"/>
              </w:rPr>
              <w:t xml:space="preserve">超过招标文件中规定的项目/采购包预算金额或者项目/采购包最高限价</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出现可选择性或可调整的报价（招标文件另有规定的除外）</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投标文件中承诺的投标有效期</w:t>
            </w:r>
            <w:r>
              <w:rPr>
                <w:rFonts w:hint="eastAsia" w:ascii="宋体" w:hAnsi="宋体"/>
                <w:color w:val="000000"/>
                <w:sz w:val="24"/>
                <w:highlight w:val="none"/>
              </w:rPr>
              <w:t xml:space="preserve">满足</w:t>
            </w:r>
            <w:r>
              <w:rPr>
                <w:rFonts w:ascii="宋体" w:hAnsi="宋体"/>
                <w:color w:val="000000"/>
                <w:sz w:val="24"/>
                <w:highlight w:val="none"/>
              </w:rPr>
              <w:t xml:space="preserve">招标文件中载明的投标有效期的；</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按照招标文件要求签署、加盖公章的；</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招标文件</w:t>
            </w:r>
            <w:r>
              <w:rPr>
                <w:rFonts w:hint="eastAsia" w:ascii="宋体" w:hAnsi="宋体"/>
                <w:color w:val="000000"/>
                <w:sz w:val="24"/>
                <w:highlight w:val="none"/>
              </w:rPr>
              <w:t xml:space="preserve">要求提供；</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hint="eastAsia" w:ascii="宋体" w:hAnsi="宋体" w:cs="宋体"/>
                <w:b/>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投标文件满足招标文件</w:t>
            </w:r>
            <w:r>
              <w:rPr>
                <w:rFonts w:ascii="宋体" w:hAnsi="宋体"/>
                <w:color w:val="000000"/>
                <w:sz w:val="24"/>
                <w:highlight w:val="none"/>
              </w:rPr>
              <w:t xml:space="preserve">第五章《采购需求》</w:t>
            </w:r>
            <w:r>
              <w:rPr>
                <w:rFonts w:ascii="宋体" w:hAnsi="宋体"/>
                <w:color w:val="000000"/>
                <w:sz w:val="24"/>
                <w:highlight w:val="none"/>
              </w:rPr>
              <w:t xml:space="preserve">中</w:t>
            </w:r>
            <w:r>
              <w:rPr>
                <w:rFonts w:hint="eastAsia" w:ascii="宋体" w:hAnsi="宋体" w:cs="宋体"/>
                <w:b/>
                <w:color w:val="000000"/>
                <w:sz w:val="24"/>
                <w:highlight w:val="none"/>
              </w:rPr>
              <w:t xml:space="preserve">★</w:t>
            </w:r>
            <w:r>
              <w:rPr>
                <w:rFonts w:ascii="宋体" w:hAnsi="宋体"/>
                <w:color w:val="000000"/>
                <w:sz w:val="24"/>
                <w:highlight w:val="none"/>
              </w:rPr>
              <w:t xml:space="preserve">号条款要求的；</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分包承担主体具备《投标人须知资料表》载明的资质条件</w:t>
            </w:r>
            <w:r>
              <w:rPr>
                <w:rFonts w:hint="eastAsia" w:ascii="宋体" w:hAnsi="宋体"/>
                <w:color w:val="000000"/>
                <w:sz w:val="24"/>
                <w:highlight w:val="none"/>
              </w:rPr>
              <w:t xml:space="preserve">且</w:t>
            </w:r>
            <w:r>
              <w:rPr>
                <w:rFonts w:ascii="宋体" w:hAnsi="宋体"/>
                <w:color w:val="000000"/>
                <w:sz w:val="24"/>
                <w:highlight w:val="none"/>
              </w:rPr>
              <w:t xml:space="preserve">提供</w:t>
            </w:r>
            <w:r>
              <w:rPr>
                <w:rFonts w:hint="eastAsia" w:ascii="宋体" w:hAnsi="宋体"/>
                <w:color w:val="000000"/>
                <w:sz w:val="24"/>
                <w:highlight w:val="none"/>
              </w:rPr>
              <w:t xml:space="preserve">了</w:t>
            </w:r>
            <w:r>
              <w:rPr>
                <w:rFonts w:ascii="宋体" w:hAnsi="宋体"/>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分包意向协议</w:t>
            </w:r>
            <w:r>
              <w:rPr>
                <w:rFonts w:ascii="宋体" w:hAnsi="宋体"/>
                <w:color w:val="000000"/>
                <w:sz w:val="24"/>
                <w:highlight w:val="none"/>
              </w:rPr>
            </w:r>
            <w:r/>
          </w:p>
          <w:p>
            <w:pPr>
              <w:pStyle w:val="1126"/>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按招标文件规定签订并提供分包意向协议原件的电子件的；</w:t>
            </w:r>
            <w:r>
              <w:rPr>
                <w:rFonts w:hint="eastAsia" w:ascii="宋体" w:hAnsi="宋体"/>
                <w:color w:val="000000"/>
                <w:sz w:val="24"/>
                <w:highlight w:val="none"/>
              </w:rPr>
              <w:t xml:space="preserve">（如有）</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，或投标文件报价出现前后不一致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，投标人对修正后的报价予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12</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报价合理性</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报价合理，或</w:t>
            </w:r>
            <w:r>
              <w:rPr>
                <w:rFonts w:hint="eastAsia" w:ascii="宋体" w:hAnsi="宋体"/>
                <w:color w:val="000000"/>
                <w:sz w:val="24"/>
                <w:highlight w:val="none"/>
              </w:rPr>
              <w:t xml:space="preserve">投标人的报价明显低于其他通过符合性审查投标人的报价，</w:t>
            </w:r>
            <w:r>
              <w:rPr>
                <w:rFonts w:ascii="宋体" w:hAnsi="宋体"/>
                <w:color w:val="000000"/>
                <w:sz w:val="24"/>
                <w:highlight w:val="none"/>
              </w:rPr>
              <w:t xml:space="preserve">有可能影响产品质量或者不能诚信履约的</w:t>
            </w:r>
            <w:r>
              <w:rPr>
                <w:rFonts w:hint="eastAsia" w:ascii="宋体" w:hAnsi="宋体"/>
                <w:color w:val="000000"/>
                <w:sz w:val="24"/>
                <w:highlight w:val="none"/>
              </w:rPr>
              <w:t xml:space="preserve">，能够应评标委员会要求在规定时间内证明其报价合理性的</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13</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1126"/>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14</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国家有关部门对投标人的投标产品有强制性规定或要求的（如相应技术、安全、节能和环保等），投标人的投标产品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1126"/>
              <w:jc w:val="lef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olor w:val="000000"/>
                <w:sz w:val="24"/>
                <w:highlight w:val="none"/>
              </w:rPr>
            </w:r>
            <w:r/>
          </w:p>
          <w:p>
            <w:pPr>
              <w:pStyle w:val="1126"/>
              <w:jc w:val="lef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投标产品如涉及计算机信息系统安全专用产品的，须</w:t>
            </w:r>
            <w:r>
              <w:rPr>
                <w:rFonts w:hint="eastAsia" w:ascii="宋体" w:hAnsi="宋体"/>
                <w:color w:val="000000"/>
                <w:sz w:val="24"/>
                <w:highlight w:val="none"/>
              </w:rPr>
              <w:t xml:space="preserve">提供</w:t>
            </w:r>
            <w:r>
              <w:rPr>
                <w:rFonts w:ascii="宋体" w:hAnsi="宋体"/>
                <w:color w:val="000000"/>
                <w:sz w:val="24"/>
                <w:highlight w:val="none"/>
              </w:rPr>
              <w:t xml:space="preserve">公安部颁发的计算机信息系统安全专用产品销售许可证；</w:t>
            </w:r>
            <w:r>
              <w:rPr>
                <w:rFonts w:ascii="宋体" w:hAnsi="宋体"/>
                <w:color w:val="000000"/>
                <w:sz w:val="24"/>
                <w:highlight w:val="none"/>
              </w:rPr>
            </w:r>
            <w:r/>
          </w:p>
          <w:p>
            <w:pPr>
              <w:pStyle w:val="1126"/>
              <w:jc w:val="lef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投标产品如有属于开展国家信息安全产品认证产品范围的，须</w:t>
            </w:r>
            <w:r>
              <w:rPr>
                <w:rFonts w:hint="eastAsia" w:ascii="宋体" w:hAnsi="宋体"/>
                <w:color w:val="000000"/>
                <w:sz w:val="24"/>
                <w:highlight w:val="none"/>
              </w:rPr>
              <w:t xml:space="preserve">提供</w:t>
            </w:r>
            <w:r>
              <w:rPr>
                <w:rFonts w:ascii="宋体" w:hAnsi="宋体"/>
                <w:color w:val="000000"/>
                <w:sz w:val="24"/>
                <w:highlight w:val="none"/>
              </w:rPr>
              <w:t xml:space="preserve">由中国网络安全审查技术与认证中心（原中国信息安全认证中心）按国家标准认证颁发的有效认证证书等）；</w:t>
            </w:r>
            <w:r>
              <w:rPr>
                <w:rFonts w:ascii="宋体" w:hAnsi="宋体"/>
                <w:color w:val="000000"/>
                <w:sz w:val="24"/>
                <w:highlight w:val="none"/>
              </w:rPr>
            </w:r>
            <w:r/>
          </w:p>
          <w:p>
            <w:pPr>
              <w:pStyle w:val="1126"/>
              <w:jc w:val="lef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投标人遵循公平竞争的原则，不存在恶意串通，妨碍其他投标人的竞争行为，不存在损害采购人或者其他投标人的合法权益情形的；</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16</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串通投标</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ascii="宋体" w:hAnsi="宋体"/>
                <w:color w:val="000000"/>
                <w:sz w:val="24"/>
                <w:highlight w:val="none"/>
              </w:rPr>
              <w:t xml:space="preserve">17</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ascii="宋体" w:hAnsi="宋体"/>
                <w:color w:val="000000"/>
                <w:sz w:val="24"/>
                <w:highlight w:val="none"/>
              </w:rPr>
            </w:r>
            <w:r/>
          </w:p>
        </w:tc>
      </w:tr>
      <w:tr>
        <w:trPr>
          <w:trHeight w:val="685"/>
        </w:trPr>
        <w:tc>
          <w:tcPr>
            <w:tcW w:w="750" w:type="dxa"/>
            <w:vAlign w:val="center"/>
            <w:textDirection w:val="lrTb"/>
            <w:noWrap w:val="false"/>
          </w:tcPr>
          <w:p>
            <w:pPr>
              <w:pStyle w:val="1126"/>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ascii="宋体" w:hAnsi="宋体"/>
                <w:color w:val="000000"/>
                <w:sz w:val="24"/>
                <w:highlight w:val="none"/>
              </w:rPr>
            </w:r>
            <w:r/>
          </w:p>
        </w:tc>
        <w:tc>
          <w:tcPr>
            <w:tcW w:w="1813"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6725" w:type="dxa"/>
            <w:vAlign w:val="center"/>
            <w:textDirection w:val="lrTb"/>
            <w:noWrap w:val="false"/>
          </w:tcPr>
          <w:p>
            <w:pPr>
              <w:pStyle w:val="1126"/>
              <w:jc w:val="left"/>
              <w:widowControl/>
              <w:rPr>
                <w:rFonts w:ascii="宋体" w:hAnsi="宋体"/>
                <w:color w:val="000000"/>
                <w:sz w:val="24"/>
                <w:highlight w:val="none"/>
              </w:rPr>
            </w:pPr>
            <w:r>
              <w:rPr>
                <w:rFonts w:ascii="宋体" w:hAnsi="宋体"/>
                <w:color w:val="000000"/>
                <w:sz w:val="24"/>
                <w:highlight w:val="none"/>
              </w:rPr>
              <w:t xml:space="preserve">投标人、投标文件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不符合法律、法规和招标文件规定的其他无效情形。</w:t>
            </w:r>
            <w:r>
              <w:rPr>
                <w:rFonts w:ascii="宋体" w:hAnsi="宋体"/>
                <w:color w:val="000000"/>
                <w:sz w:val="24"/>
                <w:highlight w:val="none"/>
              </w:rPr>
            </w:r>
            <w:r/>
          </w:p>
        </w:tc>
      </w:tr>
    </w:tbl>
    <w:p>
      <w:pPr>
        <w:pStyle w:val="1126"/>
        <w:numPr>
          <w:ilvl w:val="0"/>
          <w:numId w:val="13"/>
        </w:numPr>
        <w:spacing w:line="360" w:lineRule="auto"/>
        <w:tabs>
          <w:tab w:val="left" w:pos="900" w:leader="none"/>
          <w:tab w:val="left" w:pos="1080" w:leader="none"/>
          <w:tab w:val="left" w:pos="1589" w:leader="none"/>
        </w:tabs>
        <w:rPr>
          <w:rFonts w:ascii="宋体" w:hAnsi="宋体"/>
          <w:color w:val="000000"/>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126"/>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投标文件有关事项的澄清或者说明</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评标过程中，评标委员会将</w:t>
      </w:r>
      <w:r>
        <w:rPr>
          <w:rFonts w:hint="eastAsia" w:ascii="宋体" w:hAnsi="宋体"/>
          <w:color w:val="000000"/>
          <w:sz w:val="24"/>
          <w:highlight w:val="none"/>
        </w:rPr>
        <w:t xml:space="preserve">通过“</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000000"/>
          <w:sz w:val="24"/>
          <w:highlight w:val="none"/>
        </w:rPr>
        <w:t xml:space="preserve">电子</w:t>
      </w:r>
      <w:r>
        <w:rPr>
          <w:rFonts w:ascii="宋体" w:hAnsi="宋体"/>
          <w:color w:val="000000"/>
          <w:sz w:val="24"/>
          <w:highlight w:val="none"/>
        </w:rPr>
        <w:t xml:space="preserve">公章。投标人的澄清、说明或者补正不得超出投标文件的范围或者改变投标文件的实质性内容。澄清文件将作为投标文件内容的一部分。</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的时间内提供书面说明，必要时提交相关证明材料；若投标人不能证明其报价合理性，评标委员会将其作为</w:t>
      </w:r>
      <w:r>
        <w:rPr>
          <w:rFonts w:ascii="宋体" w:hAnsi="宋体"/>
          <w:b/>
          <w:color w:val="000000"/>
          <w:sz w:val="24"/>
          <w:highlight w:val="none"/>
        </w:rPr>
        <w:t xml:space="preserve">无效投标处理</w:t>
      </w:r>
      <w:r>
        <w:rPr>
          <w:rFonts w:ascii="宋体" w:hAnsi="宋体"/>
          <w:color w:val="000000"/>
          <w:sz w:val="24"/>
          <w:highlight w:val="none"/>
        </w:rPr>
        <w:t xml:space="preserve">。</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的时间内对此进行书面确认，投标人不确认的，视为将一个采购包中的内容拆开投标，其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投标文件报价出现前后不一致的，按照下列规定修正：</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招标文件对于报价修正是否另有规定：</w:t>
      </w:r>
      <w:r>
        <w:rPr>
          <w:rFonts w:ascii="宋体" w:hAnsi="宋体"/>
          <w:color w:val="000000"/>
          <w:sz w:val="24"/>
          <w:highlight w:val="none"/>
        </w:rPr>
      </w:r>
      <w:r/>
    </w:p>
    <w:p>
      <w:pPr>
        <w:pStyle w:val="1126"/>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u w:val="single"/>
        </w:rPr>
      </w:pPr>
      <w:r>
        <w:rPr>
          <w:rFonts w:ascii="宋体" w:hAnsi="宋体"/>
          <w:color w:val="000000"/>
          <w:sz w:val="24"/>
          <w:highlight w:val="none"/>
        </w:rPr>
        <w:t xml:space="preserve">□有，具体规定为：______________</w:t>
      </w:r>
      <w:r>
        <w:rPr>
          <w:rFonts w:ascii="宋体" w:hAnsi="宋体"/>
          <w:color w:val="000000"/>
          <w:sz w:val="24"/>
          <w:highlight w:val="none"/>
          <w:u w:val="single"/>
        </w:rPr>
      </w:r>
      <w:r/>
    </w:p>
    <w:p>
      <w:pPr>
        <w:pStyle w:val="1126"/>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无，按下述2.4.2-2.4.7项规定修正。</w:t>
      </w:r>
      <w:r>
        <w:rPr>
          <w:rFonts w:ascii="宋体" w:hAnsi="宋体"/>
          <w:color w:val="000000"/>
          <w:sz w:val="24"/>
          <w:highlight w:val="none"/>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单独递交的开标一览表（报价表）与投标文件中开标一览表（报价表）内容不一致的，以单独递交的开标一览表（报价表）为准；</w:t>
      </w:r>
      <w:r>
        <w:rPr>
          <w:rFonts w:ascii="宋体" w:hAnsi="宋体"/>
          <w:color w:val="000000"/>
          <w:sz w:val="24"/>
          <w:highlight w:val="none"/>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投标文件中开标一览表（报价表）内容与投标文件中相应内容不一致的，以开标一览表（报价表）为准；</w:t>
      </w:r>
      <w:r>
        <w:rPr>
          <w:rFonts w:ascii="宋体" w:hAnsi="宋体"/>
          <w:color w:val="000000"/>
          <w:sz w:val="24"/>
          <w:highlight w:val="none"/>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大写金额和小写金额不一致的，以大写金额为准；</w:t>
      </w:r>
      <w:r>
        <w:rPr>
          <w:rFonts w:ascii="宋体" w:hAnsi="宋体"/>
          <w:color w:val="000000"/>
          <w:sz w:val="24"/>
          <w:highlight w:val="none"/>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单价金额小数点或者百分比有明显错位的，以开标一览表的总价为准，并修改单价；</w:t>
      </w:r>
      <w:r>
        <w:rPr>
          <w:rFonts w:ascii="宋体" w:hAnsi="宋体"/>
          <w:color w:val="000000"/>
          <w:sz w:val="24"/>
          <w:highlight w:val="none"/>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总价金额与按单价汇总金额不一致的，以单价金额计算结果为准。</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同时出现两种以上不一致的，按照前款规定的顺序修正。修正后的报价经投标人书面确认后产生约束力，投标人不确认的，其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其他：评审过程中出现下列情形之一的，评审委员会应当启动异常低价投标（ 响应）审查程序：</w:t>
      </w:r>
      <w:r>
        <w:rPr>
          <w:rFonts w:hint="eastAsia" w:ascii="宋体" w:hAnsi="宋体" w:cs="宋体"/>
          <w:b/>
          <w:bCs/>
          <w:color w:val="000000"/>
          <w:sz w:val="24"/>
          <w:highlight w:val="none"/>
        </w:rPr>
      </w:r>
      <w:r/>
    </w:p>
    <w:p>
      <w:pPr>
        <w:pStyle w:val="11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2.5.1 投标（响应）报价低于采购项目预算50%的，即投标（响应）报价&lt;采购项目预算×50%；</w:t>
      </w:r>
      <w:r>
        <w:rPr>
          <w:rFonts w:hint="eastAsia" w:ascii="宋体" w:hAnsi="宋体" w:cs="宋体"/>
          <w:color w:val="000000"/>
          <w:sz w:val="24"/>
          <w:highlight w:val="none"/>
        </w:rPr>
      </w:r>
      <w:r/>
    </w:p>
    <w:p>
      <w:pPr>
        <w:pStyle w:val="11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2.5.2 投标（响应）报价低于采购项目最高限价45% 的，即投标（响应）报价&lt;采购项目最高限价×45%；</w:t>
      </w:r>
      <w:r>
        <w:rPr>
          <w:rFonts w:hint="eastAsia" w:ascii="宋体" w:hAnsi="宋体" w:cs="宋体"/>
          <w:color w:val="000000"/>
          <w:sz w:val="24"/>
          <w:highlight w:val="none"/>
        </w:rPr>
      </w:r>
      <w:r/>
    </w:p>
    <w:p>
      <w:pPr>
        <w:pStyle w:val="11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2.5.3 评审委员会认定的供应商报价过低、有可能影响产品质量或者不能诚信履约的其他情形。</w:t>
      </w:r>
      <w:r>
        <w:rPr>
          <w:rFonts w:hint="eastAsia" w:ascii="宋体" w:hAnsi="宋体" w:cs="宋体"/>
          <w:color w:val="000000"/>
          <w:sz w:val="24"/>
          <w:highlight w:val="none"/>
        </w:rPr>
      </w:r>
      <w:r/>
    </w:p>
    <w:p>
      <w:pPr>
        <w:pStyle w:val="1126"/>
        <w:numPr>
          <w:ilvl w:val="1"/>
          <w:numId w:val="0"/>
        </w:numPr>
        <w:ind w:firstLine="480"/>
        <w:spacing w:line="360" w:lineRule="auto"/>
        <w:tabs>
          <w:tab w:val="left" w:pos="1080" w:leader="none"/>
        </w:tabs>
        <w:rPr>
          <w:rFonts w:ascii="宋体" w:hAnsi="宋体"/>
          <w:color w:val="000000"/>
          <w:sz w:val="24"/>
          <w:highlight w:val="none"/>
        </w:rPr>
      </w:pPr>
      <w:r>
        <w:rPr>
          <w:rFonts w:hint="eastAsia" w:ascii="宋体" w:hAnsi="宋体" w:cs="宋体"/>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对于未预留份额专门面向中小企业采购的采购项目，以及预留份额项目中的非预留部分采购包，对</w:t>
      </w:r>
      <w:r>
        <w:rPr>
          <w:rFonts w:ascii="宋体" w:hAnsi="宋体"/>
          <w:b/>
          <w:color w:val="000000"/>
          <w:sz w:val="24"/>
          <w:highlight w:val="none"/>
        </w:rPr>
        <w:t xml:space="preserve">小微企业</w:t>
      </w:r>
      <w:r>
        <w:rPr>
          <w:rFonts w:ascii="宋体" w:hAnsi="宋体"/>
          <w:color w:val="000000"/>
          <w:sz w:val="24"/>
          <w:highlight w:val="none"/>
        </w:rPr>
        <w:t xml:space="preserve">报价给予</w:t>
      </w:r>
      <w:r>
        <w:rPr>
          <w:rFonts w:hint="eastAsia" w:ascii="宋体" w:hAnsi="宋体"/>
          <w:b/>
          <w:bCs/>
          <w:color w:val="000000"/>
          <w:sz w:val="24"/>
          <w:highlight w:val="none"/>
          <w:u w:val="single"/>
        </w:rPr>
        <w:t xml:space="preserve">20</w:t>
      </w:r>
      <w:r>
        <w:rPr>
          <w:rFonts w:ascii="宋体" w:hAnsi="宋体"/>
          <w:b/>
          <w:bCs/>
          <w:color w:val="000000"/>
          <w:sz w:val="24"/>
          <w:highlight w:val="none"/>
        </w:rPr>
        <w:t xml:space="preserve">%</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对于未预留份额专门面向中小企业采购的采购项目，以及预留份额项目中的非预留部分采购包，且接受大中型企业与</w:t>
      </w:r>
      <w:r>
        <w:rPr>
          <w:rFonts w:ascii="宋体" w:hAnsi="宋体"/>
          <w:b/>
          <w:color w:val="000000"/>
          <w:sz w:val="24"/>
          <w:highlight w:val="none"/>
        </w:rPr>
        <w:t xml:space="preserve">小微企业</w:t>
      </w:r>
      <w:r>
        <w:rPr>
          <w:rFonts w:ascii="宋体" w:hAnsi="宋体"/>
          <w:color w:val="000000"/>
          <w:sz w:val="24"/>
          <w:highlight w:val="none"/>
        </w:rPr>
        <w:t xml:space="preserve">组成联合体或者允许大中型企业向一家或者多家</w:t>
      </w:r>
      <w:r>
        <w:rPr>
          <w:rFonts w:ascii="宋体" w:hAnsi="宋体"/>
          <w:b/>
          <w:color w:val="000000"/>
          <w:sz w:val="24"/>
          <w:highlight w:val="none"/>
        </w:rPr>
        <w:t xml:space="preserve">小微企业</w:t>
      </w:r>
      <w:r>
        <w:rPr>
          <w:rFonts w:ascii="宋体" w:hAnsi="宋体"/>
          <w:color w:val="000000"/>
          <w:sz w:val="24"/>
          <w:highlight w:val="none"/>
        </w:rPr>
        <w:t xml:space="preserve">分包的采购项目，对于联合协议或者分包意向协议约定</w:t>
      </w:r>
      <w:r>
        <w:rPr>
          <w:rFonts w:ascii="宋体" w:hAnsi="宋体"/>
          <w:b/>
          <w:color w:val="000000"/>
          <w:sz w:val="24"/>
          <w:highlight w:val="none"/>
        </w:rPr>
        <w:t xml:space="preserve">小微企业</w:t>
      </w:r>
      <w:r>
        <w:rPr>
          <w:rFonts w:ascii="宋体" w:hAnsi="宋体"/>
          <w:color w:val="000000"/>
          <w:sz w:val="24"/>
          <w:highlight w:val="none"/>
        </w:rPr>
        <w:t xml:space="preserve">的合同份额占到合同总金额 30%以上的联合体或者大中型企业的报价给予</w:t>
      </w:r>
      <w:r>
        <w:rPr>
          <w:rFonts w:hint="eastAsia" w:ascii="宋体" w:hAnsi="宋体"/>
          <w:color w:val="000000"/>
          <w:sz w:val="24"/>
          <w:highlight w:val="none"/>
          <w:u w:val="single"/>
        </w:rPr>
        <w:t xml:space="preserve">3</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组成联合体或者接受分包的小微企业与联合体内其他企业、分包企业之间存在直接控股、管理关系的，不享受价格扣除优惠政策。</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价格扣除比例对小型企业和微型企业同等对待，不作区分。</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中小企业参加政府采购活动，应当按照招标文件给定的格式出具《中小企业声明函》，否则不得享受相关中小企业扶持政策。</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残疾人福利性单位按招标文件要求提供了《残疾人福利性单位声明函》（见附件）的，视同小微企业。</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若投标人同时属于小型或微型企业、监狱企业、残疾人福利性单位中的两种及以上，将不重复享受小微企业价格扣减的优惠政策。</w:t>
      </w:r>
      <w:r>
        <w:rPr>
          <w:rFonts w:ascii="宋体" w:hAnsi="宋体"/>
          <w:color w:val="000000"/>
          <w:sz w:val="24"/>
          <w:highlight w:val="none"/>
        </w:rPr>
      </w:r>
      <w:r/>
    </w:p>
    <w:p>
      <w:pPr>
        <w:pStyle w:val="1126"/>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投标文件的比较和评价</w:t>
      </w:r>
      <w:bookmarkEnd w:id="769"/>
      <w:r/>
      <w:bookmarkEnd w:id="770"/>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评标方法和评标标准</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本项目采用的评标方法为：</w:t>
      </w:r>
      <w:r>
        <w:rPr>
          <w:rFonts w:ascii="宋体" w:hAnsi="宋体"/>
          <w:color w:val="000000"/>
          <w:sz w:val="24"/>
          <w:highlight w:val="none"/>
        </w:rPr>
      </w:r>
      <w:r/>
    </w:p>
    <w:p>
      <w:pPr>
        <w:pStyle w:val="1126"/>
        <w:ind w:left="1985"/>
        <w:spacing w:line="360" w:lineRule="auto"/>
        <w:tabs>
          <w:tab w:val="left" w:pos="900" w:leader="none"/>
          <w:tab w:val="left" w:pos="1589" w:leader="none"/>
          <w:tab w:val="left" w:pos="170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000000"/>
          <w:sz w:val="24"/>
          <w:highlight w:val="none"/>
        </w:rPr>
        <w:t xml:space="preserve">，招标文件中没有规定的评标标准不得作为评审的依据。</w:t>
      </w:r>
      <w:r>
        <w:rPr>
          <w:rFonts w:ascii="宋体" w:hAnsi="宋体"/>
          <w:color w:val="000000"/>
          <w:sz w:val="24"/>
          <w:highlight w:val="none"/>
        </w:rPr>
      </w:r>
      <w:r/>
    </w:p>
    <w:p>
      <w:pPr>
        <w:pStyle w:val="1126"/>
        <w:ind w:left="1985"/>
        <w:spacing w:line="360" w:lineRule="auto"/>
        <w:tabs>
          <w:tab w:val="left" w:pos="900" w:leader="none"/>
          <w:tab w:val="left" w:pos="1589" w:leader="none"/>
          <w:tab w:val="left" w:pos="1701" w:leader="none"/>
        </w:tabs>
        <w:rPr>
          <w:rFonts w:ascii="宋体" w:hAnsi="宋体"/>
          <w:color w:val="000000"/>
          <w:sz w:val="24"/>
          <w:highlight w:val="none"/>
        </w:rPr>
      </w:pPr>
      <w:r>
        <w:rPr>
          <w:rFonts w:ascii="宋体" w:hAnsi="宋体"/>
          <w:color w:val="000000"/>
          <w:sz w:val="24"/>
          <w:highlight w:val="none"/>
        </w:rPr>
        <w:t xml:space="preserve">□最低评标价法，指投标文件满足招标文件全部实质性要求，且投标报价最低的投标人为中标候选人的评标方法。</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126"/>
        <w:ind w:left="2035"/>
        <w:spacing w:line="360" w:lineRule="auto"/>
        <w:tabs>
          <w:tab w:val="left" w:pos="1080" w:leader="none"/>
          <w:tab w:val="left" w:pos="1589" w:leader="none"/>
          <w:tab w:val="left" w:pos="2035" w:leader="none"/>
        </w:tabs>
        <w:rPr>
          <w:rFonts w:ascii="宋体" w:hAnsi="宋体"/>
          <w:color w:val="000000"/>
          <w:sz w:val="24"/>
          <w:highlight w:val="none"/>
        </w:rPr>
      </w:pPr>
      <w:r>
        <w:rPr>
          <w:rFonts w:ascii="宋体" w:hAnsi="宋体"/>
          <w:color w:val="000000"/>
          <w:sz w:val="24"/>
          <w:highlight w:val="none"/>
        </w:rPr>
        <w:t xml:space="preserve">□随机抽取</w:t>
      </w:r>
      <w:r>
        <w:rPr>
          <w:rFonts w:ascii="宋体" w:hAnsi="宋体"/>
          <w:color w:val="000000"/>
          <w:sz w:val="24"/>
          <w:highlight w:val="none"/>
        </w:rPr>
      </w:r>
      <w:r/>
    </w:p>
    <w:p>
      <w:pPr>
        <w:pStyle w:val="1126"/>
        <w:ind w:left="2035"/>
        <w:spacing w:line="360" w:lineRule="auto"/>
        <w:tabs>
          <w:tab w:val="left" w:pos="1080" w:leader="none"/>
          <w:tab w:val="left" w:pos="1589" w:leader="none"/>
          <w:tab w:val="left" w:pos="2035" w:leader="none"/>
        </w:tabs>
        <w:rPr>
          <w:rFonts w:ascii="宋体" w:hAnsi="宋体"/>
          <w:color w:val="000000"/>
          <w:sz w:val="24"/>
          <w:highlight w:val="none"/>
          <w:u w:val="single"/>
        </w:rPr>
      </w:pPr>
      <w:r>
        <w:rPr>
          <w:rFonts w:ascii="宋体" w:hAnsi="宋体"/>
          <w:color w:val="000000"/>
          <w:sz w:val="24"/>
          <w:highlight w:val="none"/>
        </w:rPr>
        <w:t xml:space="preserve">□其他方式，具体要求：_____</w:t>
      </w:r>
      <w:r>
        <w:rPr>
          <w:rFonts w:ascii="宋体" w:hAnsi="宋体"/>
          <w:color w:val="000000"/>
          <w:sz w:val="24"/>
          <w:highlight w:val="none"/>
          <w:u w:val="singl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非政府强制采购的节能产品或环境标志产品，依据品目清单和认证证书实施政府优先采购。优先采购的具体规定（如涉及）_____。</w:t>
      </w:r>
      <w:r>
        <w:rPr>
          <w:rFonts w:ascii="宋体" w:hAnsi="宋体"/>
          <w:color w:val="000000"/>
          <w:sz w:val="24"/>
          <w:highlight w:val="non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关于无线局域网认证产品政府采购清单中的产品，优先采购的具体规定（如涉及）_____。</w:t>
      </w:r>
      <w:r>
        <w:rPr>
          <w:rFonts w:ascii="宋体" w:hAnsi="宋体"/>
          <w:color w:val="000000"/>
          <w:sz w:val="24"/>
          <w:highlight w:val="none"/>
        </w:rPr>
      </w:r>
      <w:r/>
    </w:p>
    <w:p>
      <w:pPr>
        <w:pStyle w:val="1126"/>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w:t>
      </w:r>
      <w:bookmarkStart w:id="786" w:name="_Toc226309790"/>
      <w:r/>
      <w:bookmarkStart w:id="787" w:name="_Toc151193644"/>
      <w:r/>
      <w:bookmarkStart w:id="788" w:name="_Toc264969236"/>
      <w:r/>
      <w:bookmarkStart w:id="789" w:name="_Toc127151546"/>
      <w:r/>
      <w:bookmarkStart w:id="790" w:name="_Toc127161460"/>
      <w:r/>
      <w:bookmarkStart w:id="791" w:name="_Toc150774646"/>
      <w:r/>
      <w:bookmarkStart w:id="792" w:name="_Toc150480784"/>
      <w:r/>
      <w:bookmarkStart w:id="793" w:name="_Toc151193934"/>
      <w:r/>
      <w:bookmarkStart w:id="794" w:name="_Toc150774751"/>
      <w:r/>
      <w:bookmarkStart w:id="795" w:name="_Toc151193860"/>
      <w:r/>
      <w:bookmarkStart w:id="796" w:name="_Toc150509297"/>
      <w:r/>
      <w:bookmarkStart w:id="797" w:name="_Toc226337242"/>
      <w:r/>
      <w:bookmarkStart w:id="798" w:name="_Toc226965819"/>
      <w:r/>
      <w:bookmarkStart w:id="799" w:name="_Toc164608815"/>
      <w:r/>
      <w:bookmarkStart w:id="800" w:name="_Toc151190173"/>
      <w:r/>
      <w:bookmarkStart w:id="801" w:name="_Toc151193788"/>
      <w:r/>
      <w:bookmarkStart w:id="802" w:name="_Toc151193716"/>
      <w:r/>
      <w:bookmarkStart w:id="803" w:name="_Toc149720839"/>
      <w:r/>
      <w:bookmarkStart w:id="804" w:name="_Toc265228384"/>
      <w:r/>
      <w:bookmarkStart w:id="805" w:name="_Toc305158888"/>
      <w:r/>
      <w:bookmarkStart w:id="806" w:name="_Ref467307010"/>
      <w:r/>
      <w:bookmarkStart w:id="807" w:name="_Toc195842911"/>
      <w:r/>
      <w:bookmarkStart w:id="808" w:name="_Toc520356170"/>
      <w:r/>
      <w:bookmarkStart w:id="809" w:name="_Toc305158814"/>
      <w:r/>
      <w:bookmarkStart w:id="810" w:name="_Toc142311048"/>
      <w:r/>
      <w:bookmarkStart w:id="811" w:name="_Toc164229241"/>
      <w:r/>
      <w:bookmarkStart w:id="812" w:name="_Toc127151747"/>
      <w:r/>
      <w:bookmarkStart w:id="813" w:name="_Toc226965736"/>
      <w:r/>
      <w:bookmarkStart w:id="814" w:name="_Toc164351640"/>
      <w:r/>
      <w:bookmarkStart w:id="815" w:name="_Toc164608660"/>
      <w:r/>
      <w:bookmarkStart w:id="816" w:name="_Toc164229387"/>
      <w:r>
        <w:rPr>
          <w:rFonts w:ascii="宋体" w:hAnsi="宋体"/>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olor w:val="000000"/>
          <w:sz w:val="24"/>
          <w:highlight w:val="none"/>
        </w:rPr>
      </w:r>
      <w:r/>
    </w:p>
    <w:p>
      <w:pPr>
        <w:pStyle w:val="1166"/>
        <w:ind w:left="993" w:firstLine="136"/>
        <w:spacing w:line="360" w:lineRule="auto"/>
        <w:tabs>
          <w:tab w:val="left" w:pos="900" w:leader="none"/>
          <w:tab w:val="left" w:pos="2127" w:leader="none"/>
        </w:tabs>
        <w:rPr>
          <w:rFonts w:hAnsi="宋体"/>
          <w:color w:val="000000"/>
          <w:sz w:val="24"/>
          <w:szCs w:val="24"/>
          <w:highlight w:val="none"/>
        </w:rPr>
      </w:pPr>
      <w:r>
        <w:rPr>
          <w:rFonts w:hAnsi="宋体"/>
          <w:color w:val="000000"/>
          <w:sz w:val="24"/>
          <w:szCs w:val="24"/>
          <w:highlight w:val="none"/>
        </w:rPr>
        <w:t xml:space="preserve">■随机抽取</w:t>
      </w:r>
      <w:r>
        <w:rPr>
          <w:rFonts w:hAnsi="宋体"/>
          <w:color w:val="000000"/>
          <w:sz w:val="24"/>
          <w:szCs w:val="24"/>
          <w:highlight w:val="none"/>
        </w:rPr>
      </w:r>
      <w:r/>
    </w:p>
    <w:p>
      <w:pPr>
        <w:pStyle w:val="1166"/>
        <w:ind w:left="993" w:firstLine="136"/>
        <w:spacing w:line="360" w:lineRule="auto"/>
        <w:tabs>
          <w:tab w:val="left" w:pos="900" w:leader="none"/>
          <w:tab w:val="left" w:pos="2127" w:leader="none"/>
        </w:tabs>
        <w:rPr>
          <w:rFonts w:hAnsi="宋体" w:eastAsia="宋体"/>
          <w:color w:val="000000"/>
          <w:sz w:val="24"/>
          <w:szCs w:val="24"/>
          <w:highlight w:val="none"/>
          <w:u w:val="single"/>
          <w:lang w:val="en-US" w:eastAsia="zh-CN"/>
        </w:rPr>
      </w:pPr>
      <w:r>
        <w:rPr>
          <w:rFonts w:hAnsi="宋体"/>
          <w:color w:val="000000"/>
          <w:sz w:val="24"/>
          <w:szCs w:val="24"/>
          <w:highlight w:val="none"/>
        </w:rPr>
        <w:t xml:space="preserve">□其他方式，具体要求：</w:t>
      </w:r>
      <w:r>
        <w:rPr>
          <w:rFonts w:hint="eastAsia" w:hAnsi="宋体"/>
          <w:color w:val="000000"/>
          <w:sz w:val="24"/>
          <w:szCs w:val="24"/>
          <w:highlight w:val="none"/>
          <w:u w:val="single"/>
          <w:lang w:val="en-US" w:eastAsia="zh-CN"/>
        </w:rPr>
        <w:t xml:space="preserve">                  </w:t>
      </w:r>
      <w:r>
        <w:rPr>
          <w:rFonts w:hAnsi="宋体" w:eastAsia="宋体"/>
          <w:color w:val="000000"/>
          <w:sz w:val="24"/>
          <w:szCs w:val="24"/>
          <w:highlight w:val="none"/>
          <w:u w:val="single"/>
          <w:lang w:val="en-US" w:eastAsia="zh-CN"/>
        </w:rPr>
      </w:r>
      <w:r/>
    </w:p>
    <w:p>
      <w:pPr>
        <w:pStyle w:val="1166"/>
        <w:ind w:left="993" w:firstLine="136"/>
        <w:spacing w:line="360" w:lineRule="auto"/>
        <w:tabs>
          <w:tab w:val="left" w:pos="900" w:leader="none"/>
          <w:tab w:val="left" w:pos="2127" w:leader="none"/>
        </w:tabs>
        <w:rPr>
          <w:rFonts w:hAnsi="宋体"/>
          <w:color w:val="000000"/>
          <w:sz w:val="24"/>
          <w:highlight w:val="none"/>
        </w:rPr>
      </w:pPr>
      <w:r>
        <w:rPr>
          <w:rFonts w:hAnsi="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评标委员会要对评分汇总情况进行复核，特别是对排名第一的、报价最低的、投标或</w:t>
      </w:r>
      <w:r>
        <w:rPr>
          <w:rFonts w:hint="eastAsia" w:ascii="宋体" w:hAnsi="宋体"/>
          <w:color w:val="000000"/>
          <w:sz w:val="24"/>
          <w:highlight w:val="none"/>
        </w:rPr>
        <w:t xml:space="preserve">响应</w:t>
      </w:r>
      <w:r>
        <w:rPr>
          <w:rFonts w:ascii="宋体" w:hAnsi="宋体"/>
          <w:color w:val="000000"/>
          <w:sz w:val="24"/>
          <w:highlight w:val="none"/>
        </w:rPr>
        <w:t xml:space="preserve">文件被认定为无效的情形进行重点复核。</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评标委员会将根据各投标人的评标排序，依次推荐本项目（</w:t>
      </w:r>
      <w:r>
        <w:rPr>
          <w:rFonts w:hint="eastAsia" w:ascii="宋体" w:hAnsi="宋体"/>
          <w:color w:val="000000"/>
          <w:sz w:val="24"/>
          <w:highlight w:val="none"/>
        </w:rPr>
        <w:t xml:space="preserve">各</w:t>
      </w:r>
      <w:r>
        <w:rPr>
          <w:rFonts w:ascii="宋体" w:hAnsi="宋体"/>
          <w:color w:val="000000"/>
          <w:sz w:val="24"/>
          <w:highlight w:val="none"/>
        </w:rPr>
        <w:t xml:space="preserve">采购包）的中标候选人，起草并签署评标报告。本项目（</w:t>
      </w:r>
      <w:r>
        <w:rPr>
          <w:rFonts w:hint="eastAsia" w:ascii="宋体" w:hAnsi="宋体"/>
          <w:color w:val="000000"/>
          <w:sz w:val="24"/>
          <w:highlight w:val="none"/>
        </w:rPr>
        <w:t xml:space="preserve">各</w:t>
      </w:r>
      <w:r>
        <w:rPr>
          <w:rFonts w:ascii="宋体" w:hAnsi="宋体"/>
          <w:color w:val="000000"/>
          <w:sz w:val="24"/>
          <w:highlight w:val="none"/>
        </w:rPr>
        <w:t xml:space="preserve">采购包）评标委员会共（各）推荐</w:t>
      </w:r>
      <w:r>
        <w:rPr>
          <w:rFonts w:hint="eastAsia" w:ascii="宋体" w:hAnsi="宋体"/>
          <w:color w:val="000000"/>
          <w:sz w:val="24"/>
          <w:highlight w:val="none"/>
        </w:rPr>
        <w:t xml:space="preserve">不少于3</w:t>
      </w:r>
      <w:r>
        <w:rPr>
          <w:rFonts w:ascii="宋体" w:hAnsi="宋体"/>
          <w:color w:val="000000"/>
          <w:sz w:val="24"/>
          <w:highlight w:val="none"/>
        </w:rPr>
        <w:t xml:space="preserve">名中标候选人。</w:t>
      </w:r>
      <w:r>
        <w:rPr>
          <w:rFonts w:ascii="宋体" w:hAnsi="宋体"/>
          <w:color w:val="000000"/>
          <w:sz w:val="24"/>
          <w:highlight w:val="none"/>
        </w:rPr>
      </w:r>
      <w:r/>
    </w:p>
    <w:p>
      <w:pPr>
        <w:pStyle w:val="1126"/>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报告违法行为</w:t>
      </w:r>
      <w:r>
        <w:rPr>
          <w:rFonts w:ascii="宋体" w:hAnsi="宋体"/>
          <w:color w:val="000000"/>
          <w:sz w:val="24"/>
          <w:highlight w:val="none"/>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1126"/>
        <w:numPr>
          <w:ilvl w:val="0"/>
          <w:numId w:val="14"/>
        </w:numPr>
        <w:jc w:val="center"/>
        <w:widowControl/>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t xml:space="preserve">评标标准</w:t>
      </w:r>
      <w:r>
        <w:rPr>
          <w:rFonts w:ascii="宋体" w:hAnsi="宋体"/>
          <w:b/>
          <w:color w:val="000000"/>
          <w:sz w:val="24"/>
          <w:highlight w:val="none"/>
        </w:rPr>
      </w:r>
      <w:r/>
    </w:p>
    <w:p>
      <w:pPr>
        <w:pStyle w:val="1126"/>
        <w:widowControl/>
        <w:rPr>
          <w:rFonts w:ascii="宋体" w:hAnsi="宋体"/>
          <w:b/>
          <w:color w:val="000000"/>
          <w:sz w:val="24"/>
          <w:highlight w:val="none"/>
        </w:rPr>
      </w:pPr>
      <w:r>
        <w:rPr>
          <w:rFonts w:ascii="宋体" w:hAnsi="宋体"/>
          <w:b/>
          <w:color w:val="000000"/>
          <w:sz w:val="24"/>
          <w:highlight w:val="none"/>
        </w:rPr>
      </w:r>
      <w:r/>
    </w:p>
    <w:tbl>
      <w:tblPr>
        <w:tblW w:w="97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797"/>
        <w:gridCol w:w="7767"/>
        <w:gridCol w:w="652"/>
      </w:tblGrid>
      <w:tr>
        <w:trPr>
          <w:trHeight w:val="725"/>
        </w:trPr>
        <w:tc>
          <w:tcPr>
            <w:tcMar>
              <w:left w:w="108" w:type="dxa"/>
              <w:top w:w="0" w:type="dxa"/>
              <w:right w:w="108" w:type="dxa"/>
              <w:bottom w:w="0" w:type="dxa"/>
            </w:tcMar>
            <w:tcW w:w="543" w:type="dxa"/>
            <w:vAlign w:val="center"/>
            <w:textDirection w:val="lrTb"/>
            <w:noWrap w:val="false"/>
          </w:tcPr>
          <w:p>
            <w:pPr>
              <w:pStyle w:val="1126"/>
              <w:jc w:val="center"/>
              <w:spacing w:line="36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36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评分因素</w:t>
            </w:r>
            <w:r>
              <w:rPr>
                <w:rFonts w:hint="eastAsia" w:ascii="宋体" w:hAnsi="宋体" w:cs="宋体"/>
                <w:b/>
                <w:bCs/>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126"/>
              <w:jc w:val="center"/>
              <w:spacing w:line="36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hint="eastAsia" w:ascii="宋体" w:hAnsi="宋体" w:cs="宋体"/>
                <w:b/>
                <w:bCs/>
                <w:color w:val="000000"/>
                <w:sz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36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hint="eastAsia" w:ascii="宋体" w:hAnsi="宋体" w:cs="宋体"/>
                <w:b/>
                <w:bCs/>
                <w:color w:val="000000"/>
                <w:sz w:val="24"/>
                <w:highlight w:val="none"/>
              </w:rPr>
            </w:r>
            <w:r/>
          </w:p>
        </w:tc>
      </w:tr>
      <w:tr>
        <w:trPr>
          <w:trHeight w:val="658"/>
        </w:trPr>
        <w:tc>
          <w:tcPr>
            <w:gridSpan w:val="4"/>
            <w:tcMar>
              <w:left w:w="108" w:type="dxa"/>
              <w:top w:w="0" w:type="dxa"/>
              <w:right w:w="108" w:type="dxa"/>
              <w:bottom w:w="0" w:type="dxa"/>
            </w:tcMar>
            <w:tcW w:w="9759" w:type="dxa"/>
            <w:vAlign w:val="center"/>
            <w:textDirection w:val="lrTb"/>
            <w:noWrap w:val="false"/>
          </w:tcPr>
          <w:p>
            <w:pPr>
              <w:pStyle w:val="1126"/>
              <w:spacing w:line="360" w:lineRule="exact"/>
              <w:tabs>
                <w:tab w:val="left" w:pos="426"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一、报价（30分）</w:t>
            </w:r>
            <w:r>
              <w:rPr>
                <w:rFonts w:hint="eastAsia" w:ascii="宋体" w:hAnsi="宋体" w:cs="宋体"/>
                <w:color w:val="000000"/>
                <w:sz w:val="24"/>
                <w:highlight w:val="none"/>
              </w:rPr>
            </w:r>
            <w:r/>
          </w:p>
        </w:tc>
      </w:tr>
      <w:tr>
        <w:trPr>
          <w:trHeight w:val="1963"/>
        </w:trPr>
        <w:tc>
          <w:tcPr>
            <w:tcMar>
              <w:left w:w="108" w:type="dxa"/>
              <w:top w:w="0" w:type="dxa"/>
              <w:right w:w="108" w:type="dxa"/>
              <w:bottom w:w="0" w:type="dxa"/>
            </w:tcMar>
            <w:tcW w:w="543"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w:t>
            </w:r>
            <w:r>
              <w:rPr>
                <w:rFonts w:hint="eastAsia" w:ascii="宋体" w:hAnsi="宋体" w:cs="宋体"/>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满足招标文件要求且投标价格最低的投标报价为评标基准价，其价格分为满分30分。其他投标人的价格分统一按照下列公式计算（计算结果四舍五入保留两位小数）：</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投标报价得分＝（评标基准价/投标报价）×30%×100。</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注：此处投标报价指经过报价修正，及因落实政府采购政策进行价格调整后的报价。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30</w:t>
            </w:r>
            <w:r>
              <w:rPr>
                <w:rFonts w:hint="eastAsia" w:ascii="宋体" w:hAnsi="宋体" w:cs="宋体"/>
                <w:color w:val="000000"/>
                <w:sz w:val="24"/>
                <w:highlight w:val="none"/>
              </w:rPr>
            </w:r>
            <w:r/>
          </w:p>
        </w:tc>
      </w:tr>
      <w:tr>
        <w:trPr>
          <w:trHeight w:val="605"/>
        </w:trPr>
        <w:tc>
          <w:tcPr>
            <w:gridSpan w:val="4"/>
            <w:tcMar>
              <w:left w:w="108" w:type="dxa"/>
              <w:top w:w="0" w:type="dxa"/>
              <w:right w:w="108" w:type="dxa"/>
              <w:bottom w:w="0" w:type="dxa"/>
            </w:tcMar>
            <w:tcW w:w="9759" w:type="dxa"/>
            <w:vAlign w:val="center"/>
            <w:textDirection w:val="lrTb"/>
            <w:noWrap w:val="false"/>
          </w:tcPr>
          <w:p>
            <w:pPr>
              <w:pStyle w:val="1126"/>
              <w:spacing w:line="360" w:lineRule="exact"/>
              <w:tabs>
                <w:tab w:val="left" w:pos="42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二、主观分</w:t>
            </w: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tc>
      </w:tr>
      <w:tr>
        <w:trPr>
          <w:trHeight w:val="2112"/>
        </w:trPr>
        <w:tc>
          <w:tcPr>
            <w:tcMar>
              <w:left w:w="108" w:type="dxa"/>
              <w:top w:w="0" w:type="dxa"/>
              <w:right w:w="108" w:type="dxa"/>
              <w:bottom w:w="0" w:type="dxa"/>
            </w:tcMar>
            <w:tcW w:w="543"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项目实施方案</w:t>
            </w:r>
            <w:r>
              <w:rPr>
                <w:rFonts w:hint="eastAsia" w:ascii="宋体" w:hAnsi="宋体" w:cs="宋体"/>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388"/>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评委根据投标人针对本项目需求编制的项目实施方案</w:t>
            </w:r>
            <w:r>
              <w:rPr>
                <w:rFonts w:hint="eastAsia" w:ascii="宋体" w:hAnsi="宋体" w:eastAsia="宋体" w:cs="宋体"/>
                <w:b/>
                <w:bCs/>
                <w:color w:val="000000"/>
                <w:sz w:val="24"/>
                <w:szCs w:val="24"/>
                <w:highlight w:val="none"/>
              </w:rPr>
              <w:t xml:space="preserve">（内容包括但不限于：组织架构及人员资质、供货安装进度计划、质量检测流程、本地化应急方案、验收配合措施等）</w:t>
            </w:r>
            <w:r>
              <w:rPr>
                <w:rFonts w:hint="eastAsia" w:ascii="宋体" w:hAnsi="宋体" w:eastAsia="宋体" w:cs="宋体"/>
                <w:b/>
                <w:bCs/>
                <w:color w:val="000000"/>
                <w:sz w:val="24"/>
                <w:szCs w:val="24"/>
                <w:highlight w:val="none"/>
              </w:rPr>
              <w:t xml:space="preserve">进行综合评审：</w:t>
            </w:r>
            <w:r>
              <w:rPr>
                <w:rFonts w:hint="eastAsia" w:ascii="宋体" w:hAnsi="宋体" w:eastAsia="宋体" w:cs="宋体"/>
                <w:b/>
                <w:bCs/>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内容完整、进度合理、应急方案可行、人员资质达标，得8分；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内容较完整、进度较合理、应急方案基本可行、人员资质符合要求，得6分；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内容一般、进度基本合理、应急方案简单、人员资质达标，得4分；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内容较少、进度合理性较差、缺乏应急方案，得2分；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不提供不得分。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r>
      <w:tr>
        <w:trPr>
          <w:trHeight w:val="3579"/>
        </w:trPr>
        <w:tc>
          <w:tcPr>
            <w:tcMar>
              <w:left w:w="108" w:type="dxa"/>
              <w:top w:w="0" w:type="dxa"/>
              <w:right w:w="108" w:type="dxa"/>
              <w:bottom w:w="0" w:type="dxa"/>
            </w:tcMar>
            <w:tcW w:w="543" w:type="dxa"/>
            <w:vAlign w:val="center"/>
            <w:textDirection w:val="lrTb"/>
            <w:noWrap w:val="false"/>
          </w:tcPr>
          <w:p>
            <w:pPr>
              <w:pStyle w:val="1126"/>
              <w:jc w:val="center"/>
              <w:spacing w:line="360" w:lineRule="exact"/>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培训方案</w:t>
            </w:r>
            <w:r>
              <w:rPr>
                <w:rFonts w:hint="eastAsia" w:ascii="宋体" w:hAnsi="宋体" w:cs="宋体"/>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388"/>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评委根据投标人针对本项目需求编制的培训方案</w:t>
            </w:r>
            <w:r>
              <w:rPr>
                <w:rFonts w:hint="eastAsia" w:ascii="宋体" w:hAnsi="宋体" w:eastAsia="宋体" w:cs="宋体"/>
                <w:b/>
                <w:bCs/>
                <w:color w:val="000000"/>
                <w:sz w:val="24"/>
                <w:szCs w:val="24"/>
                <w:highlight w:val="none"/>
              </w:rPr>
              <w:t xml:space="preserve">（内容包括但不限于：培训对象分层设计、理论+实操培训内容、培训考核机制、培训资料完整性、后续答疑保障等）</w:t>
            </w:r>
            <w:r>
              <w:rPr>
                <w:rFonts w:hint="eastAsia" w:ascii="宋体" w:hAnsi="宋体" w:eastAsia="宋体" w:cs="宋体"/>
                <w:b/>
                <w:bCs/>
                <w:color w:val="000000"/>
                <w:sz w:val="24"/>
                <w:szCs w:val="24"/>
                <w:highlight w:val="none"/>
              </w:rPr>
              <w:t xml:space="preserve">进行综合评审：</w:t>
            </w:r>
            <w:r>
              <w:rPr>
                <w:rFonts w:hint="eastAsia" w:ascii="宋体" w:hAnsi="宋体" w:eastAsia="宋体" w:cs="宋体"/>
                <w:b/>
                <w:bCs/>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分层清晰、内容全面、考核严格、资料完整、答疑及时，得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分层较清晰、内容较全面、考核基本到位、资料较完整、答疑有保障，得5分；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分层简单、内容一般、考核简单、资料基本完整，得3分；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内容简单、无分层设计、缺乏考核、资料不全，得1分；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不提供不得分。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360" w:lineRule="exact"/>
              <w:tabs>
                <w:tab w:val="left" w:pos="426"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1025"/>
        </w:trPr>
        <w:tc>
          <w:tcPr>
            <w:tcMar>
              <w:left w:w="108" w:type="dxa"/>
              <w:top w:w="0" w:type="dxa"/>
              <w:right w:w="108" w:type="dxa"/>
              <w:bottom w:w="0" w:type="dxa"/>
            </w:tcMar>
            <w:tcW w:w="543" w:type="dxa"/>
            <w:vAlign w:val="center"/>
            <w:textDirection w:val="lrTb"/>
            <w:noWrap w:val="false"/>
          </w:tcPr>
          <w:p>
            <w:pPr>
              <w:pStyle w:val="1126"/>
              <w:jc w:val="center"/>
              <w:spacing w:line="360" w:lineRule="exact"/>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w:t>
            </w:r>
            <w:r>
              <w:rPr>
                <w:rFonts w:hint="eastAsia" w:ascii="宋体" w:hAnsi="宋体" w:cs="宋体"/>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388"/>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评委根据投标人针对本项目需求编制的售后服务管理体系</w:t>
            </w:r>
            <w:r>
              <w:rPr>
                <w:rFonts w:hint="eastAsia" w:ascii="宋体" w:hAnsi="宋体" w:eastAsia="宋体" w:cs="宋体"/>
                <w:b/>
                <w:bCs/>
                <w:color w:val="000000"/>
                <w:sz w:val="24"/>
                <w:szCs w:val="24"/>
                <w:highlight w:val="none"/>
              </w:rPr>
              <w:t xml:space="preserve">（内容包括但不限于：本地化服务团队配置、7×24小时响应机制、故障解决时限承诺、定期巡检计划、备件储备情况等）</w:t>
            </w:r>
            <w:r>
              <w:rPr>
                <w:rFonts w:hint="eastAsia" w:ascii="宋体" w:hAnsi="宋体" w:eastAsia="宋体" w:cs="宋体"/>
                <w:b/>
                <w:bCs/>
                <w:color w:val="000000"/>
                <w:sz w:val="24"/>
                <w:szCs w:val="24"/>
                <w:highlight w:val="none"/>
              </w:rPr>
              <w:t xml:space="preserve">进行综合评审：</w:t>
            </w:r>
            <w:r>
              <w:rPr>
                <w:rFonts w:hint="eastAsia" w:ascii="宋体" w:hAnsi="宋体" w:eastAsia="宋体" w:cs="宋体"/>
                <w:b/>
                <w:bCs/>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团队本地化、响应及时、时限明确、巡检到位、备件充足，得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团队基本本地化、响应较及时、时限较明确、有巡检计划、备件基本充足，得5分；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无本地化团队、响应一般、时限模糊、巡检简单、备件不足，得3分；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体系简单、响应滞后、无明确时限、无巡检计划，得1分；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不提供不得分。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1132"/>
        </w:trPr>
        <w:tc>
          <w:tcPr>
            <w:tcMar>
              <w:left w:w="108" w:type="dxa"/>
              <w:top w:w="0" w:type="dxa"/>
              <w:right w:w="108" w:type="dxa"/>
              <w:bottom w:w="0" w:type="dxa"/>
            </w:tcMar>
            <w:tcW w:w="543" w:type="dxa"/>
            <w:vAlign w:val="center"/>
            <w:textDirection w:val="lrTb"/>
            <w:noWrap w:val="false"/>
          </w:tcPr>
          <w:p>
            <w:pPr>
              <w:pStyle w:val="1126"/>
              <w:jc w:val="center"/>
              <w:spacing w:line="360" w:lineRule="exact"/>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质保期满后维保收费及内容</w:t>
            </w:r>
            <w:r>
              <w:rPr>
                <w:rFonts w:hint="eastAsia" w:ascii="宋体" w:hAnsi="宋体" w:cs="宋体"/>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388"/>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评委根据投标人针对本项目需求编制的质保期满后维保收费及内容进行综合评审：</w:t>
            </w:r>
            <w:r>
              <w:rPr>
                <w:rFonts w:hint="eastAsia" w:ascii="宋体" w:hAnsi="宋体" w:eastAsia="宋体" w:cs="宋体"/>
                <w:b/>
                <w:bCs/>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质保期满后维保收费及内容全面合理，针对性强，能完全满足本项目需求的，得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质保期满后维保收费及内容较全面合理，针对性较强，基本满足本项目需求的，得5分；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质保期满后维保收费及内容简单，对本项目需求响应一般的，得3分；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质保期满后维保收费及内容欠缺，不能满足本项目需求的，得1分；</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不提供不得分。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2631"/>
        </w:trPr>
        <w:tc>
          <w:tcPr>
            <w:tcMar>
              <w:left w:w="108" w:type="dxa"/>
              <w:top w:w="0" w:type="dxa"/>
              <w:right w:w="108" w:type="dxa"/>
              <w:bottom w:w="0" w:type="dxa"/>
            </w:tcMar>
            <w:tcW w:w="543" w:type="dxa"/>
            <w:vAlign w:val="center"/>
            <w:textDirection w:val="lrTb"/>
            <w:noWrap w:val="false"/>
          </w:tcPr>
          <w:p>
            <w:pPr>
              <w:pStyle w:val="1126"/>
              <w:jc w:val="center"/>
              <w:spacing w:line="360" w:lineRule="exact"/>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lang w:val="zh-CN"/>
              </w:rPr>
              <w:t xml:space="preserve">投标设备整体配置情况</w:t>
            </w:r>
            <w:r>
              <w:rPr>
                <w:rFonts w:hint="eastAsia" w:ascii="宋体" w:hAnsi="宋体" w:cs="宋体"/>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388"/>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评委根据投标人为本项目拟配的</w:t>
            </w:r>
            <w:r>
              <w:rPr>
                <w:rFonts w:hint="eastAsia" w:ascii="宋体" w:hAnsi="宋体" w:eastAsia="宋体" w:cs="宋体"/>
                <w:b/>
                <w:bCs/>
                <w:color w:val="000000"/>
                <w:sz w:val="24"/>
                <w:szCs w:val="24"/>
                <w:highlight w:val="none"/>
                <w:lang w:val="zh-CN"/>
              </w:rPr>
              <w:t xml:space="preserve">投标设备整体配置情况</w:t>
            </w:r>
            <w:r>
              <w:rPr>
                <w:rFonts w:hint="eastAsia" w:ascii="宋体" w:hAnsi="宋体" w:eastAsia="宋体" w:cs="宋体"/>
                <w:b/>
                <w:bCs/>
                <w:color w:val="000000"/>
                <w:sz w:val="24"/>
                <w:szCs w:val="24"/>
                <w:highlight w:val="none"/>
              </w:rPr>
              <w:t xml:space="preserve">进行综合评审：</w:t>
            </w:r>
            <w:r>
              <w:rPr>
                <w:rFonts w:hint="eastAsia" w:ascii="宋体" w:hAnsi="宋体" w:eastAsia="宋体" w:cs="宋体"/>
                <w:b/>
                <w:bCs/>
                <w:color w:val="000000"/>
                <w:sz w:val="24"/>
                <w:szCs w:val="24"/>
                <w:highlight w:val="none"/>
              </w:rPr>
            </w:r>
            <w:r/>
          </w:p>
          <w:p>
            <w:pPr>
              <w:pStyle w:val="1388"/>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针对本项目的投标产品配置选型合理、先进，且与项目需求的吻合度高，得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388"/>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针对本项目的投标产品配置选型</w:t>
            </w:r>
            <w:r>
              <w:rPr>
                <w:rFonts w:hint="eastAsia" w:ascii="宋体" w:hAnsi="宋体" w:eastAsia="宋体" w:cs="宋体"/>
                <w:color w:val="000000"/>
                <w:sz w:val="24"/>
                <w:szCs w:val="24"/>
                <w:highlight w:val="none"/>
              </w:rPr>
              <w:t xml:space="preserve">较合理，</w:t>
            </w:r>
            <w:r>
              <w:rPr>
                <w:rFonts w:hint="eastAsia" w:ascii="宋体" w:hAnsi="宋体" w:eastAsia="宋体" w:cs="宋体"/>
                <w:color w:val="000000"/>
                <w:sz w:val="24"/>
                <w:szCs w:val="24"/>
                <w:highlight w:val="none"/>
                <w:lang w:val="zh-CN"/>
              </w:rPr>
              <w:t xml:space="preserve">且与项目需求的吻合度较高，得</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388"/>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针对本项目的投标产品配置选型</w:t>
            </w:r>
            <w:r>
              <w:rPr>
                <w:rFonts w:hint="eastAsia" w:ascii="宋体" w:hAnsi="宋体" w:eastAsia="宋体" w:cs="宋体"/>
                <w:color w:val="000000"/>
                <w:sz w:val="24"/>
                <w:szCs w:val="24"/>
                <w:highlight w:val="none"/>
              </w:rPr>
              <w:t xml:space="preserve">一般，</w:t>
            </w:r>
            <w:r>
              <w:rPr>
                <w:rFonts w:hint="eastAsia" w:ascii="宋体" w:hAnsi="宋体" w:eastAsia="宋体" w:cs="宋体"/>
                <w:color w:val="000000"/>
                <w:sz w:val="24"/>
                <w:szCs w:val="24"/>
                <w:highlight w:val="none"/>
                <w:lang w:val="zh-CN"/>
              </w:rPr>
              <w:t xml:space="preserve">且与项目需求的吻合度一般，得</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388"/>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针对本项目的投标产品配置选型差、且与项目需求的吻合度差，得</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其余不得分。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628"/>
        </w:trPr>
        <w:tc>
          <w:tcPr>
            <w:gridSpan w:val="4"/>
            <w:tcMar>
              <w:left w:w="108" w:type="dxa"/>
              <w:top w:w="0" w:type="dxa"/>
              <w:right w:w="108" w:type="dxa"/>
              <w:bottom w:w="0" w:type="dxa"/>
            </w:tcMar>
            <w:tcW w:w="9759" w:type="dxa"/>
            <w:vAlign w:val="center"/>
            <w:textDirection w:val="lrTb"/>
            <w:noWrap w:val="false"/>
          </w:tcPr>
          <w:p>
            <w:pPr>
              <w:pStyle w:val="1126"/>
              <w:spacing w:line="360" w:lineRule="exact"/>
              <w:tabs>
                <w:tab w:val="left" w:pos="42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三、客观分</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tc>
      </w:tr>
      <w:tr>
        <w:trPr>
          <w:trHeight w:val="328"/>
        </w:trPr>
        <w:tc>
          <w:tcPr>
            <w:tcMar>
              <w:left w:w="108" w:type="dxa"/>
              <w:top w:w="0" w:type="dxa"/>
              <w:right w:w="108" w:type="dxa"/>
              <w:bottom w:w="0" w:type="dxa"/>
            </w:tcMar>
            <w:tcW w:w="543"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36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投标人或所投产品制造商自2022年1月1日至本项目招标公告发布之日止（以合同签订时间为准）具有眼科手术显微镜（合同内产品必须与投标产品为同品牌同型号）销售业绩的，每提供一份有效业绩完整合同得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26"/>
              <w:spacing w:line="36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注：电子投标文件中提供有效业绩完整合同扫描件</w:t>
            </w:r>
            <w:r>
              <w:rPr>
                <w:rFonts w:hint="eastAsia" w:ascii="宋体" w:hAnsi="宋体" w:cs="宋体"/>
                <w:b/>
                <w:bCs/>
                <w:color w:val="000000"/>
                <w:sz w:val="24"/>
                <w:highlight w:val="none"/>
              </w:rPr>
              <w:t xml:space="preserve">（需体现产品品类及品牌）</w:t>
            </w:r>
            <w:r>
              <w:rPr>
                <w:rFonts w:hint="eastAsia" w:ascii="宋体" w:hAnsi="宋体" w:cs="宋体"/>
                <w:b/>
                <w:bCs/>
                <w:color w:val="000000"/>
                <w:sz w:val="24"/>
                <w:highlight w:val="none"/>
              </w:rPr>
              <w:t xml:space="preserve">并加盖</w:t>
            </w:r>
            <w:r>
              <w:rPr>
                <w:rFonts w:hint="eastAsia" w:ascii="宋体" w:hAnsi="宋体" w:cs="宋体"/>
                <w:b/>
                <w:color w:val="000000"/>
                <w:sz w:val="24"/>
                <w:highlight w:val="none"/>
              </w:rPr>
              <w:t xml:space="preserve">投标人电子</w:t>
            </w:r>
            <w:r>
              <w:rPr>
                <w:rFonts w:hint="eastAsia" w:ascii="宋体" w:hAnsi="宋体" w:cs="宋体"/>
                <w:b/>
                <w:bCs/>
                <w:color w:val="000000"/>
                <w:sz w:val="24"/>
                <w:highlight w:val="none"/>
              </w:rPr>
              <w:t xml:space="preserve">公章，否则不得分。</w:t>
            </w:r>
            <w:r>
              <w:rPr>
                <w:rFonts w:hint="eastAsia" w:ascii="宋体" w:hAnsi="宋体" w:cs="宋体"/>
                <w:color w:val="000000"/>
                <w:sz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360" w:lineRule="exact"/>
              <w:tabs>
                <w:tab w:val="left" w:pos="426"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r>
      <w:tr>
        <w:trPr>
          <w:trHeight w:val="1439"/>
        </w:trPr>
        <w:tc>
          <w:tcPr>
            <w:tcMar>
              <w:left w:w="108" w:type="dxa"/>
              <w:top w:w="0" w:type="dxa"/>
              <w:right w:w="108" w:type="dxa"/>
              <w:bottom w:w="0" w:type="dxa"/>
            </w:tcMar>
            <w:tcW w:w="543" w:type="dxa"/>
            <w:vAlign w:val="center"/>
            <w:textDirection w:val="lrTb"/>
            <w:noWrap w:val="false"/>
          </w:tcPr>
          <w:p>
            <w:pPr>
              <w:pStyle w:val="1126"/>
              <w:jc w:val="center"/>
              <w:spacing w:line="360" w:lineRule="exact"/>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360" w:lineRule="exact"/>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质保期</w:t>
            </w:r>
            <w:r>
              <w:rPr>
                <w:rFonts w:ascii="宋体" w:hAnsi="宋体" w:cs="宋体"/>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投标人对所投产品在原有质保期1年的基础上承诺每延长一年免费质保期得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26"/>
              <w:spacing w:line="36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注：电子投标文件中提供承诺函（格式自拟）并加盖投标人电子签章，未提供不得分。</w:t>
            </w:r>
            <w:r>
              <w:rPr>
                <w:rFonts w:hint="eastAsia" w:ascii="宋体" w:hAnsi="宋体" w:cs="宋体"/>
                <w:color w:val="000000"/>
                <w:sz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360" w:lineRule="exact"/>
              <w:tabs>
                <w:tab w:val="left" w:pos="426"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r>
      <w:tr>
        <w:trPr>
          <w:trHeight w:val="2683"/>
        </w:trPr>
        <w:tc>
          <w:tcPr>
            <w:tcMar>
              <w:left w:w="108" w:type="dxa"/>
              <w:top w:w="0" w:type="dxa"/>
              <w:right w:w="108" w:type="dxa"/>
              <w:bottom w:w="0" w:type="dxa"/>
            </w:tcMar>
            <w:tcW w:w="543" w:type="dxa"/>
            <w:vAlign w:val="center"/>
            <w:textDirection w:val="lrTb"/>
            <w:noWrap w:val="false"/>
          </w:tcPr>
          <w:p>
            <w:pPr>
              <w:pStyle w:val="1126"/>
              <w:jc w:val="center"/>
              <w:spacing w:line="400" w:lineRule="exact"/>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Mar>
              <w:left w:w="108" w:type="dxa"/>
              <w:top w:w="0" w:type="dxa"/>
              <w:right w:w="108" w:type="dxa"/>
              <w:bottom w:w="0" w:type="dxa"/>
            </w:tcMar>
            <w:tcW w:w="797" w:type="dxa"/>
            <w:vAlign w:val="center"/>
            <w:textDirection w:val="lrTb"/>
            <w:noWrap w:val="false"/>
          </w:tcPr>
          <w:p>
            <w:pPr>
              <w:pStyle w:val="1126"/>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产品性能</w:t>
            </w:r>
            <w:r>
              <w:rPr>
                <w:rFonts w:hint="eastAsia" w:ascii="宋体" w:hAnsi="宋体" w:cs="宋体"/>
                <w:color w:val="000000"/>
                <w:sz w:val="24"/>
                <w:highlight w:val="none"/>
              </w:rPr>
            </w:r>
            <w:r/>
          </w:p>
        </w:tc>
        <w:tc>
          <w:tcPr>
            <w:tcMar>
              <w:left w:w="108" w:type="dxa"/>
              <w:top w:w="0" w:type="dxa"/>
              <w:right w:w="108" w:type="dxa"/>
              <w:bottom w:w="0" w:type="dxa"/>
            </w:tcMar>
            <w:tcW w:w="7767" w:type="dxa"/>
            <w:vAlign w:val="center"/>
            <w:textDirection w:val="lrTb"/>
            <w:noWrap w:val="false"/>
          </w:tcPr>
          <w:p>
            <w:pPr>
              <w:pStyle w:val="1388"/>
              <w:spacing w:line="360" w:lineRule="exact"/>
              <w:rPr>
                <w:rFonts w:hint="eastAsia" w:ascii="宋体" w:hAnsi="宋体" w:eastAsia="宋体" w:cs="宋体"/>
                <w:color w:val="000000"/>
                <w:sz w:val="24"/>
                <w:szCs w:val="24"/>
                <w:highlight w:val="none"/>
              </w:rPr>
            </w:pPr>
            <w:r/>
            <w:bookmarkStart w:id="817" w:name="OLE_LINK6"/>
            <w:r>
              <w:rPr>
                <w:rFonts w:hint="eastAsia" w:ascii="宋体" w:hAnsi="宋体" w:eastAsia="宋体" w:cs="宋体"/>
                <w:color w:val="000000"/>
                <w:sz w:val="24"/>
                <w:szCs w:val="24"/>
                <w:highlight w:val="none"/>
              </w:rPr>
              <w:t xml:space="preserve">评委根据投标人所投产品性能对招标文件中“技术规格要求”的响应情况进行评分：完全符合技术规格要求的得</w:t>
            </w: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打“</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”条款为实质性要求，不满足则作无效投标处理。</w:t>
            </w:r>
            <w:r>
              <w:rPr>
                <w:rFonts w:hint="eastAsia" w:ascii="宋体" w:hAnsi="宋体" w:eastAsia="宋体" w:cs="宋体"/>
                <w:color w:val="000000"/>
                <w:sz w:val="24"/>
                <w:szCs w:val="24"/>
                <w:highlight w:val="none"/>
              </w:rPr>
              <w:t xml:space="preserve">打“▲”条款为设备重要参数，每负偏离一项扣3分，正偏离不加分；</w:t>
            </w:r>
            <w:bookmarkEnd w:id="817"/>
            <w:r>
              <w:rPr>
                <w:rFonts w:hint="eastAsia" w:ascii="宋体" w:hAnsi="宋体" w:eastAsia="宋体" w:cs="宋体"/>
                <w:color w:val="000000"/>
                <w:sz w:val="24"/>
                <w:szCs w:val="24"/>
                <w:highlight w:val="none"/>
              </w:rPr>
              <w:t xml:space="preserve">其它条款为一般性参数,每负偏离一项扣1分，正偏离不加分；扣完为止。</w:t>
            </w:r>
            <w:r>
              <w:rPr>
                <w:rFonts w:hint="eastAsia" w:ascii="宋体" w:hAnsi="宋体" w:eastAsia="宋体" w:cs="宋体"/>
                <w:color w:val="000000"/>
                <w:sz w:val="24"/>
                <w:szCs w:val="24"/>
                <w:highlight w:val="none"/>
              </w:rPr>
            </w:r>
            <w:r/>
          </w:p>
          <w:p>
            <w:pPr>
              <w:pStyle w:val="1388"/>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注：标注</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、“▲”的参数应按照要求提供证明材料（不限于：国家认可的检测机构出具的产品检测报告或产品彩页或图册或技术参数说明书或功能截图等）加盖投标人公章。未标注</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、“▲”的参数有负偏离的应逐条列在《采购需求偏离表》中。</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52" w:type="dxa"/>
            <w:vAlign w:val="center"/>
            <w:textDirection w:val="lrTb"/>
            <w:noWrap w:val="false"/>
          </w:tcPr>
          <w:p>
            <w:pPr>
              <w:pStyle w:val="1126"/>
              <w:jc w:val="center"/>
              <w:spacing w:line="400" w:lineRule="exact"/>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r>
            <w:r/>
          </w:p>
        </w:tc>
      </w:tr>
    </w:tbl>
    <w:p>
      <w:pPr>
        <w:pStyle w:val="1126"/>
        <w:ind w:firstLine="482"/>
        <w:spacing w:line="400" w:lineRule="exact"/>
        <w:tabs>
          <w:tab w:val="left" w:pos="426"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1.评分细则中要求提供的证明文件及资料等在电子投标文件中提供电子扫描件并加盖投标人电子签章。</w:t>
      </w:r>
      <w:r>
        <w:rPr>
          <w:rFonts w:hint="eastAsia" w:ascii="宋体" w:hAnsi="宋体" w:cs="宋体"/>
          <w:color w:val="000000"/>
          <w:sz w:val="24"/>
          <w:highlight w:val="none"/>
        </w:rPr>
      </w:r>
      <w:r/>
    </w:p>
    <w:p>
      <w:pPr>
        <w:pStyle w:val="1126"/>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2.评审时，未能按以上要求提供相应证明的，不作为评审依据，不得分。</w:t>
      </w:r>
      <w:r>
        <w:rPr>
          <w:rFonts w:hint="eastAsia" w:ascii="宋体" w:hAnsi="宋体" w:cs="宋体"/>
          <w:color w:val="000000"/>
          <w:sz w:val="24"/>
          <w:highlight w:val="none"/>
        </w:rPr>
      </w:r>
      <w:r/>
    </w:p>
    <w:p>
      <w:pPr>
        <w:pStyle w:val="1126"/>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3.便于评审，请投标人在偏离表中逐条列出技术参数证明材料所在页码，因未列明所在页码而造成的后果由投标人自行承担。</w:t>
      </w:r>
      <w:r>
        <w:rPr>
          <w:rFonts w:hint="eastAsia" w:ascii="宋体" w:hAnsi="宋体" w:cs="宋体"/>
          <w:color w:val="000000"/>
          <w:sz w:val="24"/>
          <w:highlight w:val="none"/>
        </w:rPr>
      </w:r>
      <w:r/>
    </w:p>
    <w:p>
      <w:pPr>
        <w:pStyle w:val="1126"/>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8" w:name="_Toc8294"/>
      <w:r>
        <w:rPr>
          <w:rFonts w:ascii="宋体" w:hAnsi="宋体"/>
          <w:b/>
          <w:color w:val="000000"/>
          <w:sz w:val="36"/>
          <w:szCs w:val="36"/>
          <w:highlight w:val="none"/>
        </w:rPr>
        <w:t xml:space="preserve">第五章   采购需求</w:t>
      </w:r>
      <w:bookmarkEnd w:id="818"/>
      <w:r>
        <w:rPr>
          <w:rFonts w:ascii="宋体" w:hAnsi="宋体"/>
          <w:b/>
          <w:color w:val="000000"/>
          <w:sz w:val="36"/>
          <w:szCs w:val="36"/>
          <w:highlight w:val="none"/>
        </w:rPr>
      </w:r>
      <w:r/>
    </w:p>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一、项目概况</w:t>
      </w:r>
      <w:r>
        <w:rPr>
          <w:rFonts w:hint="eastAsia" w:ascii="宋体" w:hAnsi="宋体" w:cs="宋体"/>
          <w:b/>
          <w:bCs/>
          <w:color w:val="000000"/>
          <w:sz w:val="24"/>
          <w:highlight w:val="none"/>
        </w:rPr>
      </w:r>
      <w:r/>
    </w:p>
    <w:p>
      <w:pPr>
        <w:pStyle w:val="1126"/>
        <w:ind w:firstLine="480"/>
        <w:spacing w:line="360" w:lineRule="auto"/>
        <w:rPr>
          <w:color w:val="000000"/>
          <w:sz w:val="24"/>
          <w:highlight w:val="none"/>
        </w:rPr>
      </w:pPr>
      <w:r>
        <w:rPr>
          <w:rFonts w:hint="eastAsia"/>
          <w:color w:val="000000"/>
          <w:sz w:val="24"/>
          <w:highlight w:val="none"/>
        </w:rPr>
        <w:t xml:space="preserve">本</w:t>
      </w:r>
      <w:r>
        <w:rPr>
          <w:color w:val="000000"/>
          <w:sz w:val="24"/>
          <w:highlight w:val="none"/>
        </w:rPr>
        <w:t xml:space="preserve">项目为</w:t>
      </w:r>
      <w:r>
        <w:rPr>
          <w:rFonts w:hint="eastAsia" w:ascii="宋体" w:hAnsi="宋体"/>
          <w:color w:val="000000"/>
          <w:sz w:val="24"/>
          <w:highlight w:val="none"/>
        </w:rPr>
        <w:t xml:space="preserve">常州市第一人民医院眼科手术显微镜采购项目</w:t>
      </w:r>
      <w:r>
        <w:rPr>
          <w:rFonts w:hint="eastAsia"/>
          <w:color w:val="000000"/>
          <w:sz w:val="24"/>
          <w:highlight w:val="none"/>
        </w:rPr>
        <w:t xml:space="preserve">，</w:t>
      </w:r>
      <w:r>
        <w:rPr>
          <w:rFonts w:hint="eastAsia" w:ascii="宋体" w:hAnsi="宋体" w:cs="宋体"/>
          <w:bCs/>
          <w:color w:val="000000"/>
          <w:sz w:val="24"/>
          <w:highlight w:val="none"/>
        </w:rPr>
        <w:t xml:space="preserve">内容包括但不限于</w:t>
      </w:r>
      <w:r>
        <w:rPr>
          <w:rFonts w:hint="eastAsia" w:ascii="宋体" w:hAnsi="宋体"/>
          <w:color w:val="000000"/>
          <w:sz w:val="24"/>
          <w:highlight w:val="none"/>
        </w:rPr>
        <w:t xml:space="preserve">设备的制造（采购）、运输、装卸、安装、调试、测试、售后服务、技术培训等，直至通过相关部门的验收以及质量保修、免费维保等全部工作</w:t>
      </w:r>
      <w:r>
        <w:rPr>
          <w:rFonts w:hint="eastAsia" w:ascii="宋体" w:hAnsi="宋体" w:cs="宋体"/>
          <w:bCs/>
          <w:color w:val="000000"/>
          <w:sz w:val="24"/>
          <w:highlight w:val="none"/>
        </w:rPr>
        <w:t xml:space="preserve">。</w:t>
      </w:r>
      <w:r>
        <w:rPr>
          <w:color w:val="000000"/>
          <w:sz w:val="24"/>
          <w:highlight w:val="none"/>
        </w:rPr>
      </w:r>
      <w:r/>
    </w:p>
    <w:tbl>
      <w:tblPr>
        <w:tblW w:w="85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3"/>
        <w:gridCol w:w="3552"/>
        <w:gridCol w:w="1582"/>
        <w:gridCol w:w="1461"/>
      </w:tblGrid>
      <w:tr>
        <w:trPr>
          <w:trHeight w:val="467"/>
        </w:trPr>
        <w:tc>
          <w:tcPr>
            <w:tcW w:w="1923" w:type="dxa"/>
            <w:vAlign w:val="center"/>
            <w:textDirection w:val="lrTb"/>
            <w:noWrap w:val="false"/>
          </w:tcPr>
          <w:p>
            <w:pPr>
              <w:pStyle w:val="1126"/>
              <w:contextualSpacing/>
              <w:jc w:val="center"/>
              <w:spacing w:line="360" w:lineRule="auto"/>
              <w:rPr>
                <w:b/>
                <w:bCs/>
                <w:color w:val="000000"/>
                <w:sz w:val="24"/>
                <w:highlight w:val="none"/>
              </w:rPr>
            </w:pPr>
            <w:r>
              <w:rPr>
                <w:rFonts w:hint="eastAsia" w:ascii="宋体" w:hAnsi="宋体" w:cs="宋体"/>
                <w:b/>
                <w:color w:val="000000"/>
                <w:sz w:val="24"/>
                <w:highlight w:val="none"/>
              </w:rPr>
              <w:t xml:space="preserve">序号</w:t>
            </w:r>
            <w:r>
              <w:rPr>
                <w:b/>
                <w:bCs/>
                <w:color w:val="000000"/>
                <w:sz w:val="24"/>
                <w:highlight w:val="none"/>
              </w:rPr>
            </w:r>
            <w:r/>
          </w:p>
        </w:tc>
        <w:tc>
          <w:tcPr>
            <w:tcW w:w="3552" w:type="dxa"/>
            <w:vAlign w:val="center"/>
            <w:textDirection w:val="lrTb"/>
            <w:noWrap w:val="false"/>
          </w:tcPr>
          <w:p>
            <w:pPr>
              <w:pStyle w:val="1126"/>
              <w:contextualSpacing/>
              <w:jc w:val="center"/>
              <w:spacing w:line="360" w:lineRule="auto"/>
              <w:rPr>
                <w:rFonts w:hint="eastAsia"/>
                <w:b/>
                <w:bCs/>
                <w:color w:val="000000"/>
                <w:sz w:val="24"/>
                <w:highlight w:val="none"/>
              </w:rPr>
            </w:pPr>
            <w:r>
              <w:rPr>
                <w:rFonts w:hint="eastAsia" w:ascii="宋体" w:hAnsi="宋体" w:cs="宋体"/>
                <w:b/>
                <w:color w:val="000000"/>
                <w:sz w:val="24"/>
                <w:highlight w:val="none"/>
              </w:rPr>
              <w:t xml:space="preserve">标的名称</w:t>
            </w:r>
            <w:r>
              <w:rPr>
                <w:rFonts w:hint="eastAsia"/>
                <w:b/>
                <w:bCs/>
                <w:color w:val="000000"/>
                <w:sz w:val="24"/>
                <w:highlight w:val="none"/>
              </w:rPr>
            </w:r>
            <w:r/>
          </w:p>
        </w:tc>
        <w:tc>
          <w:tcPr>
            <w:tcW w:w="1582" w:type="dxa"/>
            <w:vAlign w:val="center"/>
            <w:textDirection w:val="lrTb"/>
            <w:noWrap w:val="false"/>
          </w:tcPr>
          <w:p>
            <w:pPr>
              <w:pStyle w:val="1126"/>
              <w:contextualSpacing/>
              <w:jc w:val="center"/>
              <w:spacing w:line="360" w:lineRule="auto"/>
              <w:rPr>
                <w:b/>
                <w:bCs/>
                <w:color w:val="000000"/>
                <w:sz w:val="24"/>
                <w:highlight w:val="none"/>
              </w:rPr>
            </w:pPr>
            <w:r>
              <w:rPr>
                <w:rFonts w:hint="eastAsia" w:ascii="宋体" w:hAnsi="宋体" w:cs="宋体"/>
                <w:b/>
                <w:color w:val="000000"/>
                <w:sz w:val="24"/>
                <w:highlight w:val="none"/>
              </w:rPr>
              <w:t xml:space="preserve">单位</w:t>
            </w:r>
            <w:r>
              <w:rPr>
                <w:b/>
                <w:bCs/>
                <w:color w:val="000000"/>
                <w:sz w:val="24"/>
                <w:highlight w:val="none"/>
              </w:rPr>
            </w:r>
            <w:r/>
          </w:p>
        </w:tc>
        <w:tc>
          <w:tcPr>
            <w:tcW w:w="1461" w:type="dxa"/>
            <w:vAlign w:val="center"/>
            <w:textDirection w:val="lrTb"/>
            <w:noWrap w:val="false"/>
          </w:tcPr>
          <w:p>
            <w:pPr>
              <w:pStyle w:val="1126"/>
              <w:contextualSpacing/>
              <w:jc w:val="center"/>
              <w:spacing w:line="360" w:lineRule="auto"/>
              <w:rPr>
                <w:rFonts w:hint="eastAsia"/>
                <w:b/>
                <w:bCs/>
                <w:color w:val="000000"/>
                <w:sz w:val="24"/>
                <w:highlight w:val="none"/>
              </w:rPr>
            </w:pPr>
            <w:r>
              <w:rPr>
                <w:rFonts w:hint="eastAsia" w:ascii="宋体" w:hAnsi="宋体" w:cs="宋体"/>
                <w:b/>
                <w:color w:val="000000"/>
                <w:sz w:val="24"/>
                <w:highlight w:val="none"/>
              </w:rPr>
              <w:t xml:space="preserve">数量</w:t>
            </w:r>
            <w:r>
              <w:rPr>
                <w:rFonts w:hint="eastAsia"/>
                <w:b/>
                <w:bCs/>
                <w:color w:val="000000"/>
                <w:sz w:val="24"/>
                <w:highlight w:val="none"/>
              </w:rPr>
            </w:r>
            <w:r/>
          </w:p>
        </w:tc>
      </w:tr>
      <w:tr>
        <w:trPr>
          <w:trHeight w:val="625"/>
        </w:trPr>
        <w:tc>
          <w:tcPr>
            <w:tcW w:w="1923" w:type="dxa"/>
            <w:vAlign w:val="center"/>
            <w:textDirection w:val="lrTb"/>
            <w:noWrap w:val="false"/>
          </w:tcPr>
          <w:p>
            <w:pPr>
              <w:pStyle w:val="1126"/>
              <w:contextualSpacing/>
              <w:jc w:val="center"/>
              <w:spacing w:line="360" w:lineRule="auto"/>
              <w:rPr>
                <w:rFonts w:hint="eastAsia"/>
                <w:color w:val="000000"/>
                <w:sz w:val="24"/>
                <w:highlight w:val="none"/>
              </w:rPr>
            </w:pPr>
            <w:r>
              <w:rPr>
                <w:rFonts w:hint="eastAsia" w:ascii="宋体" w:hAnsi="宋体" w:cs="宋体"/>
                <w:bCs/>
                <w:color w:val="000000"/>
                <w:sz w:val="24"/>
                <w:highlight w:val="none"/>
              </w:rPr>
              <w:t xml:space="preserve">1</w:t>
            </w:r>
            <w:r>
              <w:rPr>
                <w:rFonts w:hint="eastAsia"/>
                <w:color w:val="000000"/>
                <w:sz w:val="24"/>
                <w:highlight w:val="none"/>
              </w:rPr>
            </w:r>
            <w:r/>
          </w:p>
        </w:tc>
        <w:tc>
          <w:tcPr>
            <w:tcW w:w="3552" w:type="dxa"/>
            <w:vAlign w:val="center"/>
            <w:textDirection w:val="lrTb"/>
            <w:noWrap w:val="false"/>
          </w:tcPr>
          <w:p>
            <w:pPr>
              <w:pStyle w:val="1126"/>
              <w:contextualSpacing/>
              <w:jc w:val="center"/>
              <w:spacing w:line="360" w:lineRule="auto"/>
              <w:rPr>
                <w:color w:val="000000"/>
                <w:sz w:val="24"/>
                <w:highlight w:val="none"/>
              </w:rPr>
            </w:pPr>
            <w:r>
              <w:rPr>
                <w:rFonts w:hint="eastAsia" w:ascii="宋体" w:hAnsi="宋体"/>
                <w:color w:val="000000"/>
                <w:sz w:val="24"/>
                <w:highlight w:val="none"/>
              </w:rPr>
              <w:t xml:space="preserve">眼科手术显微镜</w:t>
            </w:r>
            <w:r>
              <w:rPr>
                <w:color w:val="000000"/>
                <w:sz w:val="24"/>
                <w:highlight w:val="none"/>
              </w:rPr>
            </w:r>
            <w:r/>
          </w:p>
        </w:tc>
        <w:tc>
          <w:tcPr>
            <w:tcW w:w="1582" w:type="dxa"/>
            <w:vAlign w:val="center"/>
            <w:textDirection w:val="lrTb"/>
            <w:noWrap w:val="false"/>
          </w:tcPr>
          <w:p>
            <w:pPr>
              <w:pStyle w:val="1126"/>
              <w:contextualSpacing/>
              <w:jc w:val="center"/>
              <w:spacing w:line="360" w:lineRule="auto"/>
              <w:rPr>
                <w:rFonts w:hint="eastAsia"/>
                <w:color w:val="000000"/>
                <w:sz w:val="24"/>
                <w:highlight w:val="none"/>
              </w:rPr>
            </w:pPr>
            <w:r>
              <w:rPr>
                <w:rFonts w:hint="eastAsia" w:ascii="宋体" w:hAnsi="宋体" w:cs="宋体"/>
                <w:bCs/>
                <w:color w:val="000000"/>
                <w:sz w:val="24"/>
                <w:highlight w:val="none"/>
              </w:rPr>
              <w:t xml:space="preserve">套</w:t>
            </w:r>
            <w:r>
              <w:rPr>
                <w:rFonts w:hint="eastAsia"/>
                <w:color w:val="000000"/>
                <w:sz w:val="24"/>
                <w:highlight w:val="none"/>
              </w:rPr>
            </w:r>
            <w:r/>
          </w:p>
        </w:tc>
        <w:tc>
          <w:tcPr>
            <w:tcW w:w="1461" w:type="dxa"/>
            <w:vAlign w:val="center"/>
            <w:textDirection w:val="lrTb"/>
            <w:noWrap w:val="false"/>
          </w:tcPr>
          <w:p>
            <w:pPr>
              <w:pStyle w:val="1126"/>
              <w:contextualSpacing/>
              <w:jc w:val="center"/>
              <w:spacing w:line="360" w:lineRule="auto"/>
              <w:rPr>
                <w:color w:val="000000"/>
                <w:sz w:val="24"/>
                <w:highlight w:val="none"/>
              </w:rPr>
            </w:pPr>
            <w:r>
              <w:rPr>
                <w:rFonts w:hint="eastAsia" w:ascii="宋体" w:hAnsi="宋体" w:cs="宋体"/>
                <w:bCs/>
                <w:color w:val="000000"/>
                <w:sz w:val="24"/>
                <w:highlight w:val="none"/>
              </w:rPr>
              <w:t xml:space="preserve">1</w:t>
            </w:r>
            <w:r>
              <w:rPr>
                <w:color w:val="000000"/>
                <w:sz w:val="24"/>
                <w:highlight w:val="none"/>
              </w:rPr>
            </w:r>
            <w:r/>
          </w:p>
        </w:tc>
      </w:tr>
    </w:tbl>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二、技术规格要求</w:t>
      </w:r>
      <w:r>
        <w:rPr>
          <w:rFonts w:hint="eastAsia" w:ascii="宋体" w:hAnsi="宋体" w:cs="宋体"/>
          <w:b/>
          <w:bCs/>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光学系统全部采用复消色差技术</w:t>
      </w:r>
      <w:r>
        <w:rPr>
          <w:rFonts w:hint="eastAsia"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★光纤照明传导设计，保证手术安全。</w:t>
      </w:r>
      <w:r>
        <w:rPr>
          <w:rFonts w:hint="eastAsia" w:ascii="宋体" w:hAnsi="宋体"/>
          <w:color w:val="000000"/>
          <w:sz w:val="24"/>
          <w:highlight w:val="none"/>
        </w:rPr>
      </w:r>
      <w:r/>
    </w:p>
    <w:p>
      <w:pPr>
        <w:pStyle w:val="1210"/>
        <w:numPr>
          <w:ilvl w:val="0"/>
          <w:numId w:val="15"/>
        </w:numPr>
        <w:spacing w:line="360" w:lineRule="auto"/>
        <w:rPr>
          <w:rFonts w:ascii="宋体" w:hAnsi="宋体"/>
          <w:color w:val="000000"/>
          <w:sz w:val="24"/>
          <w:highlight w:val="none"/>
        </w:rPr>
      </w:pPr>
      <w:r>
        <w:rPr>
          <w:rFonts w:hint="eastAsia" w:ascii="宋体" w:hAnsi="宋体"/>
          <w:color w:val="000000"/>
          <w:sz w:val="24"/>
          <w:highlight w:val="none"/>
        </w:rPr>
        <w:t xml:space="preserve">电动连续变倍，放大倍率1：6</w:t>
      </w:r>
      <w:r>
        <w:rPr>
          <w:rFonts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目镜屈光补偿：+5D到-8D</w:t>
      </w:r>
      <w:r>
        <w:rPr>
          <w:rFonts w:hint="eastAsia"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调焦范围</w:t>
      </w:r>
      <w:bookmarkStart w:id="819" w:name="_Hlk151058568"/>
      <w:r>
        <w:rPr>
          <w:rFonts w:hint="eastAsia" w:ascii="宋体" w:hAnsi="宋体"/>
          <w:color w:val="000000"/>
          <w:sz w:val="24"/>
          <w:highlight w:val="none"/>
        </w:rPr>
        <w:t xml:space="preserve"> </w:t>
      </w:r>
      <w:bookmarkStart w:id="820" w:name="_Hlk151059465"/>
      <w:r>
        <w:rPr>
          <w:rFonts w:hint="eastAsia" w:ascii="宋体" w:hAnsi="宋体"/>
          <w:color w:val="000000"/>
          <w:sz w:val="24"/>
          <w:highlight w:val="none"/>
        </w:rPr>
        <w:t xml:space="preserve">≥</w:t>
      </w:r>
      <w:bookmarkEnd w:id="820"/>
      <w:r>
        <w:rPr>
          <w:rFonts w:hint="eastAsia" w:ascii="宋体" w:hAnsi="宋体"/>
          <w:color w:val="000000"/>
          <w:sz w:val="24"/>
          <w:highlight w:val="none"/>
        </w:rPr>
        <w:t xml:space="preserve"> </w:t>
      </w:r>
      <w:bookmarkEnd w:id="819"/>
      <w:r>
        <w:rPr>
          <w:rFonts w:hint="eastAsia" w:ascii="宋体" w:hAnsi="宋体"/>
          <w:color w:val="000000"/>
          <w:sz w:val="24"/>
          <w:highlight w:val="none"/>
        </w:rPr>
        <w:t xml:space="preserve">50mm</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主镜配置110度倾角可调双目镜筒，内置倒像系统</w:t>
      </w:r>
      <w:r>
        <w:rPr>
          <w:rFonts w:hint="eastAsia" w:ascii="宋体" w:hAnsi="宋体"/>
          <w:color w:val="000000"/>
          <w:sz w:val="24"/>
          <w:highlight w:val="none"/>
        </w:rPr>
      </w:r>
      <w:r/>
    </w:p>
    <w:p>
      <w:pPr>
        <w:pStyle w:val="1210"/>
        <w:numPr>
          <w:ilvl w:val="0"/>
          <w:numId w:val="15"/>
        </w:numPr>
        <w:spacing w:line="360" w:lineRule="auto"/>
        <w:rPr>
          <w:rFonts w:ascii="宋体" w:hAnsi="宋体"/>
          <w:color w:val="000000"/>
          <w:sz w:val="24"/>
          <w:highlight w:val="none"/>
        </w:rPr>
      </w:pPr>
      <w:r>
        <w:rPr>
          <w:rFonts w:hint="eastAsia" w:ascii="宋体" w:hAnsi="宋体"/>
          <w:color w:val="000000"/>
          <w:sz w:val="24"/>
          <w:highlight w:val="none"/>
        </w:rPr>
        <w:t xml:space="preserve">配置内置同光路助手镜，可独立变倍、独立调焦。</w:t>
      </w:r>
      <w:r>
        <w:rPr>
          <w:rFonts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▲配置卤素灯照明光源，符合各类手术照明要求。</w:t>
      </w:r>
      <w:r>
        <w:rPr>
          <w:rFonts w:hint="eastAsia" w:ascii="宋体" w:hAnsi="宋体"/>
          <w:color w:val="000000"/>
          <w:sz w:val="24"/>
          <w:highlight w:val="none"/>
        </w:rPr>
      </w:r>
      <w:r/>
    </w:p>
    <w:p>
      <w:pPr>
        <w:pStyle w:val="1210"/>
        <w:numPr>
          <w:ilvl w:val="0"/>
          <w:numId w:val="15"/>
        </w:numPr>
        <w:spacing w:line="360" w:lineRule="auto"/>
        <w:rPr>
          <w:rFonts w:ascii="宋体" w:hAnsi="宋体"/>
          <w:color w:val="000000"/>
          <w:sz w:val="24"/>
          <w:highlight w:val="none"/>
        </w:rPr>
      </w:pPr>
      <w:r>
        <w:rPr>
          <w:rFonts w:hint="eastAsia" w:ascii="宋体" w:hAnsi="宋体"/>
          <w:color w:val="000000"/>
          <w:sz w:val="24"/>
          <w:highlight w:val="none"/>
        </w:rPr>
        <w:t xml:space="preserve">X-Y水平移动调节范围：40mm X 40mm</w:t>
      </w:r>
      <w:r>
        <w:rPr>
          <w:rFonts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景深增强系统：具有智能景深增强系统</w:t>
      </w:r>
      <w:r>
        <w:rPr>
          <w:rFonts w:hint="eastAsia" w:ascii="宋体" w:hAnsi="宋体"/>
          <w:color w:val="000000"/>
          <w:sz w:val="24"/>
          <w:highlight w:val="none"/>
        </w:rPr>
      </w:r>
      <w:r/>
    </w:p>
    <w:p>
      <w:pPr>
        <w:pStyle w:val="1210"/>
        <w:numPr>
          <w:ilvl w:val="0"/>
          <w:numId w:val="15"/>
        </w:numPr>
        <w:spacing w:line="360" w:lineRule="auto"/>
        <w:rPr>
          <w:rFonts w:ascii="宋体" w:hAnsi="宋体"/>
          <w:color w:val="000000"/>
          <w:sz w:val="24"/>
          <w:highlight w:val="none"/>
        </w:rPr>
      </w:pPr>
      <w:r>
        <w:rPr>
          <w:rFonts w:hint="eastAsia" w:ascii="宋体" w:hAnsi="宋体"/>
          <w:color w:val="000000"/>
          <w:sz w:val="24"/>
          <w:highlight w:val="none"/>
        </w:rPr>
        <w:t xml:space="preserve">带有自动复位按钮，水平移动及聚焦可自动复位</w:t>
      </w:r>
      <w:r>
        <w:rPr>
          <w:rFonts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照明方式：立体同轴照明系统</w:t>
      </w:r>
      <w:r>
        <w:rPr>
          <w:rFonts w:hint="eastAsia" w:ascii="宋体" w:hAnsi="宋体"/>
          <w:color w:val="000000"/>
          <w:sz w:val="24"/>
          <w:highlight w:val="none"/>
        </w:rPr>
        <w:tab/>
      </w:r>
      <w:r>
        <w:rPr>
          <w:rFonts w:hint="eastAsia"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★具有主光源与备用光源切换功能，确保手术安全。</w:t>
      </w:r>
      <w:r>
        <w:rPr>
          <w:rFonts w:hint="eastAsia"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内置防紫外线滤光片、蓝光滤光片、视网膜保护装置</w:t>
      </w:r>
      <w:r>
        <w:rPr>
          <w:rFonts w:hint="eastAsia"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触摸屏控制面板，≥ 9组用户参数设置、故障诊断码显示</w:t>
      </w:r>
      <w:r>
        <w:rPr>
          <w:rFonts w:hint="eastAsia"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全封闭防水脚踏，功能设置数量≥14个</w:t>
      </w:r>
      <w:r>
        <w:rPr>
          <w:rFonts w:hint="eastAsia" w:ascii="宋体" w:hAnsi="宋体"/>
          <w:color w:val="000000"/>
          <w:sz w:val="24"/>
          <w:highlight w:val="none"/>
        </w:rPr>
      </w:r>
      <w:r/>
    </w:p>
    <w:p>
      <w:pPr>
        <w:pStyle w:val="1210"/>
        <w:numPr>
          <w:ilvl w:val="0"/>
          <w:numId w:val="1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电磁锁支架，承重≥20kg</w:t>
      </w:r>
      <w:r>
        <w:rPr>
          <w:rFonts w:hint="eastAsia" w:ascii="宋体" w:hAnsi="宋体"/>
          <w:color w:val="000000"/>
          <w:sz w:val="24"/>
          <w:highlight w:val="none"/>
        </w:rPr>
      </w:r>
      <w:r/>
    </w:p>
    <w:p>
      <w:pPr>
        <w:pStyle w:val="1210"/>
        <w:numPr>
          <w:ilvl w:val="0"/>
          <w:numId w:val="15"/>
        </w:numPr>
        <w:spacing w:line="360" w:lineRule="auto"/>
        <w:rPr>
          <w:rFonts w:ascii="宋体" w:hAnsi="宋体"/>
          <w:color w:val="000000"/>
          <w:sz w:val="24"/>
          <w:highlight w:val="none"/>
        </w:rPr>
      </w:pPr>
      <w:r>
        <w:rPr>
          <w:rFonts w:hint="eastAsia" w:ascii="宋体" w:hAnsi="宋体"/>
          <w:color w:val="000000"/>
          <w:sz w:val="24"/>
          <w:highlight w:val="none"/>
        </w:rPr>
        <w:t xml:space="preserve">配置同品牌电动非接触视网膜镜。</w:t>
      </w:r>
      <w:r>
        <w:rPr>
          <w:rFonts w:ascii="宋体" w:hAnsi="宋体"/>
          <w:color w:val="000000"/>
          <w:sz w:val="24"/>
          <w:highlight w:val="none"/>
        </w:rPr>
      </w:r>
      <w:r/>
    </w:p>
    <w:p>
      <w:pPr>
        <w:pStyle w:val="1210"/>
        <w:numPr>
          <w:ilvl w:val="0"/>
          <w:numId w:val="15"/>
        </w:numPr>
        <w:spacing w:line="360" w:lineRule="auto"/>
        <w:rPr>
          <w:rFonts w:ascii="宋体" w:hAnsi="宋体"/>
          <w:color w:val="000000"/>
          <w:sz w:val="24"/>
          <w:highlight w:val="none"/>
        </w:rPr>
      </w:pPr>
      <w:r>
        <w:rPr>
          <w:rFonts w:hint="eastAsia" w:ascii="宋体" w:hAnsi="宋体" w:cs="ZeissFrutigerNextPro-Rg"/>
          <w:color w:val="000000"/>
          <w:sz w:val="24"/>
          <w:highlight w:val="none"/>
        </w:rPr>
        <w:t xml:space="preserve">内调焦技术、保证角膜到镜头的距离不变</w:t>
      </w:r>
      <w:r>
        <w:rPr>
          <w:rFonts w:ascii="宋体" w:hAnsi="宋体"/>
          <w:color w:val="000000"/>
          <w:sz w:val="24"/>
          <w:highlight w:val="none"/>
        </w:rPr>
      </w:r>
      <w:r/>
    </w:p>
    <w:p>
      <w:pPr>
        <w:pStyle w:val="1210"/>
        <w:numPr>
          <w:ilvl w:val="0"/>
          <w:numId w:val="15"/>
        </w:numPr>
        <w:spacing w:line="360" w:lineRule="auto"/>
        <w:rPr>
          <w:rFonts w:ascii="宋体" w:hAnsi="宋体"/>
          <w:color w:val="000000"/>
          <w:sz w:val="24"/>
          <w:highlight w:val="none"/>
        </w:rPr>
      </w:pPr>
      <w:r>
        <w:rPr>
          <w:rFonts w:hint="eastAsia" w:ascii="宋体" w:hAnsi="宋体" w:cs="ZeissFrutigerNextPro-Rg"/>
          <w:color w:val="000000"/>
          <w:sz w:val="24"/>
          <w:highlight w:val="none"/>
        </w:rPr>
        <w:t xml:space="preserve">镜头支架旋转角度：水平角度、0°-360°顺/逆时针旋转</w:t>
      </w:r>
      <w:r>
        <w:rPr>
          <w:rFonts w:ascii="宋体" w:hAnsi="宋体"/>
          <w:color w:val="000000"/>
          <w:sz w:val="24"/>
          <w:highlight w:val="none"/>
        </w:rPr>
      </w:r>
      <w:r/>
    </w:p>
    <w:p>
      <w:pPr>
        <w:pStyle w:val="1210"/>
        <w:numPr>
          <w:ilvl w:val="0"/>
          <w:numId w:val="15"/>
        </w:numPr>
        <w:spacing w:line="360" w:lineRule="auto"/>
        <w:rPr>
          <w:rFonts w:ascii="宋体" w:hAnsi="宋体"/>
          <w:color w:val="000000"/>
          <w:sz w:val="24"/>
          <w:highlight w:val="none"/>
        </w:rPr>
      </w:pPr>
      <w:r>
        <w:rPr>
          <w:rFonts w:hint="eastAsia" w:ascii="宋体" w:hAnsi="宋体" w:cs="ZeissFrutigerNextPro-Rg"/>
          <w:color w:val="000000"/>
          <w:sz w:val="24"/>
          <w:highlight w:val="none"/>
        </w:rPr>
        <w:t xml:space="preserve">自动折叠式支架，可有效保护患者角膜</w:t>
      </w:r>
      <w:r>
        <w:rPr>
          <w:rFonts w:ascii="宋体" w:hAnsi="宋体"/>
          <w:color w:val="000000"/>
          <w:sz w:val="24"/>
          <w:highlight w:val="none"/>
        </w:rPr>
      </w:r>
      <w:r/>
    </w:p>
    <w:p>
      <w:pPr>
        <w:pStyle w:val="1210"/>
        <w:numPr>
          <w:ilvl w:val="0"/>
          <w:numId w:val="15"/>
        </w:numPr>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s="ZeissFrutigerNextPro-Rg"/>
          <w:color w:val="000000"/>
          <w:sz w:val="24"/>
          <w:highlight w:val="none"/>
        </w:rPr>
        <w:t xml:space="preserve">配置高清摄录像手术系统：3CCD高清摄像</w:t>
      </w:r>
      <w:r>
        <w:rPr>
          <w:rFonts w:ascii="宋体" w:hAnsi="宋体"/>
          <w:color w:val="000000"/>
          <w:sz w:val="24"/>
          <w:highlight w:val="none"/>
        </w:rPr>
      </w:r>
      <w:r/>
    </w:p>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三、交货日期及交货地点</w:t>
      </w:r>
      <w:r>
        <w:rPr>
          <w:rFonts w:ascii="宋体" w:hAnsi="宋体" w:cs="宋体"/>
          <w:b/>
          <w:bCs/>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1、交货日期：</w:t>
      </w:r>
      <w:r>
        <w:rPr>
          <w:rFonts w:hint="eastAsia" w:ascii="宋体" w:hAnsi="宋体" w:cs="宋体"/>
          <w:color w:val="000000"/>
          <w:sz w:val="24"/>
          <w:highlight w:val="none"/>
        </w:rPr>
        <w:t xml:space="preserve">合同签订生效后60个工作日内完成合同范围内所有设备的供货、安装调试。</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2、交货地点：招标方指定地点，货损风险自验收合格交付招标方之日起转移。</w:t>
      </w:r>
      <w:r>
        <w:rPr>
          <w:rFonts w:hint="eastAsia" w:ascii="宋体" w:hAnsi="宋体" w:cs="宋体"/>
          <w:color w:val="000000"/>
          <w:sz w:val="24"/>
          <w:highlight w:val="none"/>
        </w:rPr>
      </w:r>
      <w:r/>
    </w:p>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四、设备到货、安装、验收和培训</w:t>
      </w:r>
      <w:r>
        <w:rPr>
          <w:rFonts w:hint="eastAsia" w:ascii="宋体" w:hAnsi="宋体" w:cs="宋体"/>
          <w:b/>
          <w:bCs/>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1.投标人到货、安装和调试必须事先与招标方联系，必要时由招标方联系商检部门监督拆箱和验收货物。设备安装、调试结束后，投标人派工程师现场协助招标方对设备进行验收，填写验收报告。</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在安装过程中或安装结束后，投标方工程师负责对招标方进行操作、保养和维修的培训，必要时需按照事先约定跟台手术。</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投标人所供设备如验收不合格，根据招标方的要求，投标人必须无条件换货或退货，由此引起的一切损失由投标人承担。</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进口设备到货后，投标人应提供给</w:t>
      </w:r>
      <w:r>
        <w:rPr>
          <w:rFonts w:hint="eastAsia" w:ascii="宋体" w:hAnsi="宋体" w:cs="宋体"/>
          <w:color w:val="000000"/>
          <w:sz w:val="24"/>
          <w:highlight w:val="none"/>
        </w:rPr>
        <w:t xml:space="preserve">招标方机电设备进口证明（如需要）、报关单、海关免税证明（如免税）、原产地证书、质量保证书、商检证书、安装图纸、全套随机技术资料等。</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 投标人应保证其提供的产品不侵犯第三人知识产权，若招标方因使用该产品遭受第三人主张知识产权侵权，投标人应及时并直接参与处理，造成招标方经济损失的（包括但不限于停用设备补救措施损失、调查费、取证费、保全费、律师费、交通费、保险费等直接和间接损失），均由投标人承担。</w:t>
      </w:r>
      <w:r>
        <w:rPr>
          <w:rFonts w:hint="eastAsia" w:ascii="宋体" w:hAnsi="宋体" w:cs="宋体"/>
          <w:color w:val="000000"/>
          <w:sz w:val="24"/>
          <w:highlight w:val="none"/>
        </w:rPr>
      </w:r>
      <w:r/>
    </w:p>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五、售后服务和要求</w:t>
      </w:r>
      <w:r>
        <w:rPr>
          <w:rFonts w:hint="eastAsia" w:ascii="宋体" w:hAnsi="宋体" w:cs="宋体"/>
          <w:b/>
          <w:bCs/>
          <w:color w:val="000000"/>
          <w:sz w:val="24"/>
          <w:highlight w:val="none"/>
        </w:rPr>
      </w:r>
      <w:r/>
    </w:p>
    <w:p>
      <w:pPr>
        <w:pStyle w:val="1126"/>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1、免费质保期：</w:t>
      </w:r>
      <w:r>
        <w:rPr>
          <w:rFonts w:hint="eastAsia" w:ascii="宋体" w:hAnsi="宋体"/>
          <w:color w:val="000000"/>
          <w:sz w:val="24"/>
          <w:highlight w:val="none"/>
          <w:lang w:bidi="he-IL"/>
        </w:rPr>
        <w:t xml:space="preserve">设备验收以</w:t>
      </w:r>
      <w:r>
        <w:rPr>
          <w:rFonts w:hint="eastAsia" w:ascii="宋体" w:hAnsi="宋体"/>
          <w:color w:val="000000"/>
          <w:sz w:val="24"/>
          <w:highlight w:val="none"/>
          <w:lang w:eastAsia="zh-CN" w:bidi="he-IL"/>
        </w:rPr>
        <w:t xml:space="preserve">招标</w:t>
      </w:r>
      <w:r>
        <w:rPr>
          <w:rFonts w:hint="eastAsia" w:ascii="宋体" w:hAnsi="宋体"/>
          <w:color w:val="000000"/>
          <w:sz w:val="24"/>
          <w:highlight w:val="none"/>
          <w:lang w:bidi="he-IL"/>
        </w:rPr>
        <w:t xml:space="preserve">方的验收报告为准，自双</w:t>
      </w:r>
      <w:r>
        <w:rPr>
          <w:rFonts w:hint="eastAsia" w:ascii="宋体" w:hAnsi="宋体"/>
          <w:color w:val="000000"/>
          <w:sz w:val="24"/>
          <w:highlight w:val="none"/>
          <w:lang w:bidi="he-IL"/>
        </w:rPr>
        <w:t xml:space="preserve">方约定的技术验收通过第二天起计算质保期，</w:t>
      </w:r>
      <w:r>
        <w:rPr>
          <w:rFonts w:hint="eastAsia" w:ascii="宋体" w:hAnsi="宋体"/>
          <w:color w:val="000000"/>
          <w:sz w:val="24"/>
          <w:highlight w:val="none"/>
          <w:lang w:bidi="he-IL"/>
        </w:rPr>
        <w:t xml:space="preserve">整机含配件免费全保</w:t>
      </w:r>
      <w:r>
        <w:rPr>
          <w:rFonts w:hint="eastAsia" w:ascii="宋体" w:hAnsi="宋体"/>
          <w:color w:val="000000"/>
          <w:sz w:val="24"/>
          <w:highlight w:val="none"/>
          <w:u w:val="single"/>
          <w:lang w:bidi="he-IL"/>
        </w:rPr>
        <w:t xml:space="preserve"> 1 </w:t>
      </w:r>
      <w:r>
        <w:rPr>
          <w:rFonts w:hint="eastAsia" w:ascii="宋体" w:hAnsi="宋体"/>
          <w:color w:val="000000"/>
          <w:sz w:val="24"/>
          <w:highlight w:val="none"/>
          <w:lang w:bidi="he-IL"/>
        </w:rPr>
        <w:t xml:space="preserve">年</w:t>
      </w:r>
      <w:r>
        <w:rPr>
          <w:rFonts w:hint="eastAsia" w:ascii="宋体" w:hAnsi="宋体"/>
          <w:color w:val="000000"/>
          <w:sz w:val="24"/>
          <w:highlight w:val="none"/>
          <w:lang w:bidi="he-IL"/>
        </w:rPr>
        <w:t xml:space="preserve">；质保期过后终身维修，</w:t>
      </w:r>
      <w:r>
        <w:rPr>
          <w:rFonts w:hint="eastAsia"/>
          <w:color w:val="000000"/>
          <w:sz w:val="24"/>
          <w:highlight w:val="none"/>
        </w:rPr>
        <w:t xml:space="preserve">免收人工费，只收配件费，提供配件价格清单。</w:t>
      </w:r>
      <w:r>
        <w:rPr>
          <w:rFonts w:hint="eastAsia" w:ascii="宋体" w:hAnsi="宋体" w:cs="宋体"/>
          <w:b/>
          <w:bCs/>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2.确保设备质保期内开机率为95%。如设备故障停机率超过5%（一年按365天计算，每年18天），每超过一天，质保期延长两周。</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3.如设备发生故障，投标人在接到</w:t>
      </w:r>
      <w:r>
        <w:rPr>
          <w:rFonts w:hint="eastAsia" w:ascii="宋体" w:hAnsi="宋体" w:cs="宋体"/>
          <w:color w:val="000000"/>
          <w:sz w:val="24"/>
          <w:highlight w:val="none"/>
        </w:rPr>
        <w:t xml:space="preserve">招标方质保</w:t>
      </w:r>
      <w:r>
        <w:rPr>
          <w:rFonts w:hint="eastAsia" w:ascii="宋体" w:hAnsi="宋体" w:cs="宋体"/>
          <w:color w:val="000000"/>
          <w:sz w:val="24"/>
          <w:highlight w:val="none"/>
        </w:rPr>
        <w:t xml:space="preserve">电话2小时内予以响应，24小时内修复完成，如果不能修复完成，投标人提供样机确保招标方在质保期内工作正常进行；如不能提供样机，当天不能修复完成，应提前告知招标方，抓紧组织维修，超过一天，质保期延长两周。</w:t>
      </w:r>
      <w:r>
        <w:rPr>
          <w:rFonts w:hint="eastAsia" w:ascii="宋体" w:hAnsi="宋体" w:cs="宋体"/>
          <w:color w:val="000000"/>
          <w:sz w:val="24"/>
          <w:highlight w:val="none"/>
        </w:rPr>
      </w:r>
      <w:r/>
    </w:p>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六、付款方式及说明</w:t>
      </w:r>
      <w:r>
        <w:rPr>
          <w:rFonts w:hint="eastAsia" w:ascii="宋体" w:hAnsi="宋体" w:cs="宋体"/>
          <w:b/>
          <w:bCs/>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首付款（30%）</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完成安装、调试并经招标方验收合格，且中标人完成对招标方操作人员的培训指导并取得《培训完成确认单》后，中标人向招标方提供对应30%货款的增值税发票。招标方收到上述凭证后，按医院签票流程支付首付款（具体到账时间以招标方付款流程为准）。</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二期款（60%）</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设备验收合格后正常运行满3-4个月，中标人向招标方提供剩余60%货款的增值税发票。招标方收到发票后，按上述流程支付二期款（具体到账时间以招标方付款流程为准）。</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尾款（10%）</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设备验收合格满12个月，且无质量及服务争议（或争议已妥善解决），中标人向招标方提供剩余10%货款的增值税发票。招标方收到发票后，按上述流程付清尾款（具体到账时间以招标方付款流程为准）。</w:t>
      </w:r>
      <w:r>
        <w:rPr>
          <w:rFonts w:hint="eastAsia" w:ascii="宋体" w:hAnsi="宋体" w:cs="宋体"/>
          <w:color w:val="000000"/>
          <w:sz w:val="24"/>
          <w:highlight w:val="none"/>
        </w:rPr>
      </w:r>
      <w:r/>
    </w:p>
    <w:p>
      <w:pPr>
        <w:pStyle w:val="1126"/>
        <w:ind w:firstLine="480"/>
        <w:spacing w:line="360" w:lineRule="auto"/>
        <w:rPr>
          <w:rFonts w:hint="eastAsia" w:ascii="宋体" w:hAnsi="宋体" w:cs="宋体"/>
          <w:color w:val="000000"/>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color w:val="000000"/>
          <w:sz w:val="24"/>
          <w:highlight w:val="none"/>
        </w:rPr>
        <w:t xml:space="preserve">2. 设备验收合格后，乙方所开发票，应确保发票上所列品名、型号、金额与合同所列完全一致。</w:t>
      </w:r>
      <w:r>
        <w:rPr>
          <w:rFonts w:hint="eastAsia" w:ascii="宋体" w:hAnsi="宋体" w:cs="宋体"/>
          <w:color w:val="000000"/>
          <w:sz w:val="24"/>
          <w:highlight w:val="none"/>
        </w:rPr>
      </w:r>
      <w:r/>
    </w:p>
    <w:p>
      <w:pPr>
        <w:pStyle w:val="1126"/>
        <w:ind w:firstLine="726"/>
        <w:jc w:val="center"/>
        <w:spacing w:line="360" w:lineRule="auto"/>
        <w:rPr>
          <w:rFonts w:ascii="宋体" w:hAnsi="宋体"/>
          <w:b/>
          <w:color w:val="000000"/>
          <w:sz w:val="36"/>
          <w:szCs w:val="36"/>
          <w:highlight w:val="none"/>
        </w:rPr>
      </w:pPr>
      <w:r>
        <w:rPr>
          <w:rFonts w:ascii="宋体" w:hAnsi="宋体"/>
          <w:b/>
          <w:color w:val="000000"/>
          <w:sz w:val="36"/>
          <w:szCs w:val="36"/>
          <w:highlight w:val="none"/>
        </w:rPr>
        <w:t xml:space="preserve">第六章   拟签订的合同文本</w:t>
      </w:r>
      <w:r>
        <w:rPr>
          <w:rFonts w:ascii="宋体" w:hAnsi="宋体"/>
          <w:b/>
          <w:color w:val="000000"/>
          <w:sz w:val="36"/>
          <w:szCs w:val="36"/>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合同签订地点：</w:t>
      </w:r>
      <w:r>
        <w:rPr>
          <w:rFonts w:hint="eastAsia" w:ascii="宋体" w:hAnsi="宋体" w:cs="宋体"/>
          <w:color w:val="000000"/>
          <w:sz w:val="24"/>
          <w:highlight w:val="none"/>
        </w:rPr>
        <w:t xml:space="preserve">常州市第一人民医院               </w:t>
      </w:r>
      <w:r>
        <w:rPr>
          <w:rFonts w:hint="eastAsia" w:ascii="宋体" w:hAnsi="宋体" w:cs="宋体"/>
          <w:b/>
          <w:color w:val="000000"/>
          <w:sz w:val="24"/>
          <w:highlight w:val="none"/>
        </w:rPr>
        <w:t xml:space="preserve">合同编号：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2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126"/>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甲方：</w:t>
      </w:r>
      <w:r>
        <w:rPr>
          <w:rFonts w:hint="eastAsia" w:ascii="宋体" w:hAnsi="宋体" w:cs="宋体"/>
          <w:color w:val="000000"/>
          <w:sz w:val="24"/>
          <w:highlight w:val="none"/>
        </w:rPr>
        <w:t xml:space="preserve">常州市第一人民医院                        </w:t>
      </w:r>
      <w:r>
        <w:rPr>
          <w:rFonts w:hint="eastAsia" w:ascii="宋体" w:hAnsi="宋体" w:cs="宋体"/>
          <w:b/>
          <w:color w:val="000000"/>
          <w:sz w:val="24"/>
          <w:highlight w:val="none"/>
        </w:rPr>
        <w:t xml:space="preserve">乙方：</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26"/>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w:t>
      </w:r>
      <w:r>
        <w:rPr>
          <w:rFonts w:hint="eastAsia" w:ascii="宋体" w:hAnsi="宋体" w:cs="宋体"/>
          <w:bCs/>
          <w:color w:val="000000"/>
          <w:sz w:val="24"/>
          <w:highlight w:val="none"/>
        </w:rPr>
        <w:t xml:space="preserve">周军                                </w:t>
      </w:r>
      <w:r>
        <w:rPr>
          <w:rFonts w:hint="eastAsia" w:ascii="宋体" w:hAnsi="宋体" w:cs="宋体"/>
          <w:b/>
          <w:color w:val="000000"/>
          <w:sz w:val="24"/>
          <w:highlight w:val="none"/>
        </w:rPr>
        <w:t xml:space="preserve">法定代表人：</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26"/>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地址：</w:t>
      </w:r>
      <w:r>
        <w:rPr>
          <w:rFonts w:hint="eastAsia" w:ascii="宋体" w:hAnsi="宋体" w:cs="宋体"/>
          <w:color w:val="000000"/>
          <w:sz w:val="24"/>
          <w:highlight w:val="none"/>
        </w:rPr>
        <w:t xml:space="preserve">江苏省常州市局前街185号                  </w:t>
      </w:r>
      <w:r>
        <w:rPr>
          <w:rFonts w:hint="eastAsia" w:ascii="宋体" w:hAnsi="宋体" w:cs="宋体"/>
          <w:b/>
          <w:color w:val="000000"/>
          <w:sz w:val="24"/>
          <w:highlight w:val="none"/>
        </w:rPr>
        <w:t xml:space="preserve">地址：</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26"/>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电话：</w:t>
      </w:r>
      <w:r>
        <w:rPr>
          <w:rFonts w:hint="eastAsia" w:ascii="宋体" w:hAnsi="宋体" w:cs="宋体"/>
          <w:bCs/>
          <w:color w:val="000000"/>
          <w:sz w:val="24"/>
          <w:highlight w:val="none"/>
        </w:rPr>
        <w:t xml:space="preserve">0519-68870000（医院）                    </w:t>
      </w:r>
      <w:r>
        <w:rPr>
          <w:rFonts w:hint="eastAsia" w:ascii="宋体" w:hAnsi="宋体" w:cs="宋体"/>
          <w:b/>
          <w:color w:val="000000"/>
          <w:sz w:val="24"/>
          <w:highlight w:val="none"/>
        </w:rPr>
        <w:t xml:space="preserve"> 电话</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126"/>
        <w:ind w:firstLine="72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/68870822（装备物资采管处）  </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传真：</w:t>
      </w:r>
      <w:r>
        <w:rPr>
          <w:rFonts w:hint="eastAsia" w:ascii="宋体" w:hAnsi="宋体" w:cs="宋体"/>
          <w:bCs/>
          <w:color w:val="000000"/>
          <w:sz w:val="24"/>
          <w:highlight w:val="none"/>
        </w:rPr>
        <w:t xml:space="preserve">0519-86606207     </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传真：</w:t>
      </w: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邮编：</w:t>
      </w:r>
      <w:r>
        <w:rPr>
          <w:rFonts w:hint="eastAsia" w:ascii="宋体" w:hAnsi="宋体" w:cs="宋体"/>
          <w:color w:val="000000"/>
          <w:sz w:val="24"/>
          <w:highlight w:val="none"/>
        </w:rPr>
        <w:t xml:space="preserve">213003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邮编：</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一、 产品具体情况：</w:t>
      </w:r>
      <w:r>
        <w:rPr>
          <w:rFonts w:hint="eastAsia" w:ascii="宋体" w:hAnsi="宋体" w:cs="宋体"/>
          <w:b/>
          <w:color w:val="000000"/>
          <w:sz w:val="24"/>
          <w:highlight w:val="none"/>
          <w:lang w:bidi="he-IL"/>
        </w:rPr>
      </w:r>
      <w:r/>
    </w:p>
    <w:tbl>
      <w:tblPr>
        <w:tblW w:w="1065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976" w:hRule="exact"/>
        </w:trPr>
        <w:tc>
          <w:tcPr>
            <w:tcW w:w="1873" w:type="dxa"/>
            <w:vAlign w:val="center"/>
            <w:textDirection w:val="lrTb"/>
            <w:noWrap w:val="false"/>
          </w:tcPr>
          <w:p>
            <w:pPr>
              <w:pStyle w:val="1126"/>
              <w:ind w:right="4"/>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商品名称</w:t>
            </w:r>
            <w:r>
              <w:rPr>
                <w:rFonts w:hint="eastAsia" w:ascii="宋体" w:hAnsi="宋体" w:cs="宋体"/>
                <w:b/>
                <w:color w:val="000000"/>
                <w:sz w:val="24"/>
                <w:highlight w:val="none"/>
                <w:lang w:bidi="he-IL"/>
              </w:rPr>
            </w:r>
            <w:r/>
          </w:p>
        </w:tc>
        <w:tc>
          <w:tcPr>
            <w:tcW w:w="1395" w:type="dxa"/>
            <w:vAlign w:val="center"/>
            <w:textDirection w:val="lrTb"/>
            <w:noWrap w:val="false"/>
          </w:tcPr>
          <w:p>
            <w:pPr>
              <w:pStyle w:val="1126"/>
              <w:ind w:right="264"/>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规格型号</w:t>
            </w:r>
            <w:r>
              <w:rPr>
                <w:rFonts w:hint="eastAsia" w:ascii="宋体" w:hAnsi="宋体" w:cs="宋体"/>
                <w:b/>
                <w:color w:val="000000"/>
                <w:sz w:val="24"/>
                <w:highlight w:val="none"/>
                <w:lang w:bidi="he-IL"/>
              </w:rPr>
            </w:r>
            <w:r/>
          </w:p>
        </w:tc>
        <w:tc>
          <w:tcPr>
            <w:tcW w:w="1069" w:type="dxa"/>
            <w:vAlign w:val="center"/>
            <w:textDirection w:val="lrTb"/>
            <w:noWrap w:val="false"/>
          </w:tcPr>
          <w:p>
            <w:pPr>
              <w:pStyle w:val="1126"/>
              <w:ind w:right="264" w:firstLine="120"/>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产地           </w:t>
            </w:r>
            <w:r>
              <w:rPr>
                <w:rFonts w:hint="eastAsia" w:ascii="宋体" w:hAnsi="宋体" w:cs="宋体"/>
                <w:b/>
                <w:color w:val="000000"/>
                <w:sz w:val="24"/>
                <w:highlight w:val="none"/>
                <w:lang w:bidi="he-IL"/>
              </w:rPr>
            </w:r>
            <w:r/>
          </w:p>
        </w:tc>
        <w:tc>
          <w:tcPr>
            <w:tcW w:w="956" w:type="dxa"/>
            <w:vAlign w:val="center"/>
            <w:textDirection w:val="lrTb"/>
            <w:noWrap w:val="false"/>
          </w:tcPr>
          <w:p>
            <w:pPr>
              <w:pStyle w:val="1126"/>
              <w:ind w:right="264" w:firstLine="120"/>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品牌</w:t>
            </w:r>
            <w:r>
              <w:rPr>
                <w:rFonts w:hint="eastAsia" w:ascii="宋体" w:hAnsi="宋体" w:cs="宋体"/>
                <w:b/>
                <w:color w:val="000000"/>
                <w:sz w:val="24"/>
                <w:highlight w:val="none"/>
                <w:lang w:bidi="he-IL"/>
              </w:rPr>
            </w:r>
            <w:r/>
          </w:p>
        </w:tc>
        <w:tc>
          <w:tcPr>
            <w:tcW w:w="720" w:type="dxa"/>
            <w:vAlign w:val="center"/>
            <w:textDirection w:val="lrTb"/>
            <w:noWrap w:val="false"/>
          </w:tcPr>
          <w:p>
            <w:pPr>
              <w:pStyle w:val="1126"/>
              <w:ind w:right="19"/>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单位</w:t>
            </w:r>
            <w:r>
              <w:rPr>
                <w:rFonts w:hint="eastAsia" w:ascii="宋体" w:hAnsi="宋体" w:cs="宋体"/>
                <w:b/>
                <w:color w:val="000000"/>
                <w:sz w:val="24"/>
                <w:highlight w:val="none"/>
                <w:lang w:bidi="he-IL"/>
              </w:rPr>
            </w:r>
            <w:r/>
          </w:p>
        </w:tc>
        <w:tc>
          <w:tcPr>
            <w:tcW w:w="519" w:type="dxa"/>
            <w:vAlign w:val="center"/>
            <w:textDirection w:val="lrTb"/>
            <w:noWrap w:val="false"/>
          </w:tcPr>
          <w:p>
            <w:pPr>
              <w:pStyle w:val="1126"/>
              <w:ind w:right="19"/>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数量</w:t>
            </w:r>
            <w:r>
              <w:rPr>
                <w:rFonts w:hint="eastAsia" w:ascii="宋体" w:hAnsi="宋体" w:cs="宋体"/>
                <w:b/>
                <w:color w:val="000000"/>
                <w:sz w:val="24"/>
                <w:highlight w:val="none"/>
                <w:lang w:bidi="he-IL"/>
              </w:rPr>
            </w:r>
            <w:r/>
          </w:p>
        </w:tc>
        <w:tc>
          <w:tcPr>
            <w:tcW w:w="1243" w:type="dxa"/>
            <w:vAlign w:val="center"/>
            <w:textDirection w:val="lrTb"/>
            <w:noWrap w:val="false"/>
          </w:tcPr>
          <w:p>
            <w:pPr>
              <w:pStyle w:val="1126"/>
              <w:ind w:right="19"/>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市场单价</w:t>
            </w:r>
            <w:r>
              <w:rPr>
                <w:rFonts w:hint="eastAsia" w:ascii="宋体" w:hAnsi="宋体" w:cs="宋体"/>
                <w:b/>
                <w:color w:val="000000"/>
                <w:sz w:val="24"/>
                <w:highlight w:val="none"/>
                <w:lang w:bidi="he-IL"/>
              </w:rPr>
            </w:r>
            <w:r/>
          </w:p>
          <w:p>
            <w:pPr>
              <w:pStyle w:val="1126"/>
              <w:ind w:right="19"/>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（元）</w:t>
            </w:r>
            <w:r>
              <w:rPr>
                <w:rFonts w:hint="eastAsia" w:ascii="宋体" w:hAnsi="宋体" w:cs="宋体"/>
                <w:b/>
                <w:color w:val="000000"/>
                <w:sz w:val="24"/>
                <w:highlight w:val="none"/>
                <w:lang w:bidi="he-IL"/>
              </w:rPr>
            </w:r>
            <w:r/>
          </w:p>
        </w:tc>
        <w:tc>
          <w:tcPr>
            <w:tcW w:w="1260" w:type="dxa"/>
            <w:vAlign w:val="center"/>
            <w:textDirection w:val="lrTb"/>
            <w:noWrap w:val="false"/>
          </w:tcPr>
          <w:p>
            <w:pPr>
              <w:pStyle w:val="1126"/>
              <w:ind w:right="28"/>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成交单价</w:t>
            </w:r>
            <w:r>
              <w:rPr>
                <w:rFonts w:hint="eastAsia" w:ascii="宋体" w:hAnsi="宋体" w:cs="宋体"/>
                <w:b/>
                <w:color w:val="000000"/>
                <w:sz w:val="24"/>
                <w:highlight w:val="none"/>
                <w:lang w:bidi="he-IL"/>
              </w:rPr>
            </w:r>
            <w:r/>
          </w:p>
          <w:p>
            <w:pPr>
              <w:pStyle w:val="1126"/>
              <w:ind w:right="28"/>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（元）</w:t>
            </w:r>
            <w:r>
              <w:rPr>
                <w:rFonts w:hint="eastAsia" w:ascii="宋体" w:hAnsi="宋体" w:cs="宋体"/>
                <w:b/>
                <w:color w:val="000000"/>
                <w:sz w:val="24"/>
                <w:highlight w:val="none"/>
                <w:lang w:bidi="he-IL"/>
              </w:rPr>
            </w:r>
            <w:r/>
          </w:p>
        </w:tc>
        <w:tc>
          <w:tcPr>
            <w:tcW w:w="1620" w:type="dxa"/>
            <w:vAlign w:val="center"/>
            <w:textDirection w:val="lrTb"/>
            <w:noWrap w:val="false"/>
          </w:tcPr>
          <w:p>
            <w:pPr>
              <w:pStyle w:val="1126"/>
              <w:ind w:left="4"/>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成交总金额</w:t>
            </w:r>
            <w:r>
              <w:rPr>
                <w:rFonts w:hint="eastAsia" w:ascii="宋体" w:hAnsi="宋体" w:cs="宋体"/>
                <w:b/>
                <w:color w:val="000000"/>
                <w:sz w:val="24"/>
                <w:highlight w:val="none"/>
                <w:lang w:bidi="he-IL"/>
              </w:rPr>
            </w:r>
            <w:r/>
          </w:p>
          <w:p>
            <w:pPr>
              <w:pStyle w:val="1126"/>
              <w:ind w:left="4"/>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含税价(元)</w:t>
            </w:r>
            <w:r>
              <w:rPr>
                <w:rFonts w:hint="eastAsia" w:ascii="宋体" w:hAnsi="宋体" w:cs="宋体"/>
                <w:b/>
                <w:color w:val="000000"/>
                <w:sz w:val="24"/>
                <w:highlight w:val="none"/>
                <w:lang w:bidi="he-IL"/>
              </w:rPr>
            </w:r>
            <w:r/>
          </w:p>
        </w:tc>
      </w:tr>
      <w:tr>
        <w:trPr>
          <w:trHeight w:val="451"/>
        </w:trPr>
        <w:tc>
          <w:tcPr>
            <w:tcW w:w="1873" w:type="dxa"/>
            <w:vAlign w:val="center"/>
            <w:textDirection w:val="lrTb"/>
            <w:noWrap w:val="false"/>
          </w:tcPr>
          <w:p>
            <w:pPr>
              <w:pStyle w:val="1126"/>
              <w:ind w:right="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395" w:type="dxa"/>
            <w:vAlign w:val="center"/>
            <w:textDirection w:val="lrTb"/>
            <w:noWrap w:val="false"/>
          </w:tcPr>
          <w:p>
            <w:pPr>
              <w:pStyle w:val="1126"/>
              <w:ind w:right="26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069" w:type="dxa"/>
            <w:vAlign w:val="center"/>
            <w:textDirection w:val="lrTb"/>
            <w:noWrap w:val="false"/>
          </w:tcPr>
          <w:p>
            <w:pPr>
              <w:pStyle w:val="1126"/>
              <w:ind w:right="26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956" w:type="dxa"/>
            <w:vAlign w:val="center"/>
            <w:textDirection w:val="lrTb"/>
            <w:noWrap w:val="false"/>
          </w:tcPr>
          <w:p>
            <w:pPr>
              <w:pStyle w:val="1126"/>
              <w:ind w:right="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720" w:type="dxa"/>
            <w:vAlign w:val="center"/>
            <w:textDirection w:val="lrTb"/>
            <w:noWrap w:val="false"/>
          </w:tcPr>
          <w:p>
            <w:pPr>
              <w:pStyle w:val="1126"/>
              <w:ind w:right="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519" w:type="dxa"/>
            <w:vAlign w:val="center"/>
            <w:textDirection w:val="lrTb"/>
            <w:noWrap w:val="false"/>
          </w:tcPr>
          <w:p>
            <w:pPr>
              <w:pStyle w:val="1126"/>
              <w:ind w:right="1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243" w:type="dxa"/>
            <w:vAlign w:val="center"/>
            <w:textDirection w:val="lrTb"/>
            <w:noWrap w:val="false"/>
          </w:tcPr>
          <w:p>
            <w:pPr>
              <w:pStyle w:val="1126"/>
              <w:ind w:right="1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260" w:type="dxa"/>
            <w:vAlign w:val="center"/>
            <w:textDirection w:val="lrTb"/>
            <w:noWrap w:val="false"/>
          </w:tcPr>
          <w:p>
            <w:pPr>
              <w:pStyle w:val="1126"/>
              <w:ind w:right="28"/>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620" w:type="dxa"/>
            <w:vAlign w:val="center"/>
            <w:textDirection w:val="lrTb"/>
            <w:noWrap w:val="false"/>
          </w:tcPr>
          <w:p>
            <w:pPr>
              <w:pStyle w:val="1126"/>
              <w:ind w:left="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r>
      <w:tr>
        <w:trPr>
          <w:trHeight w:val="477" w:hRule="exact"/>
        </w:trPr>
        <w:tc>
          <w:tcPr>
            <w:tcW w:w="1873" w:type="dxa"/>
            <w:vAlign w:val="center"/>
            <w:textDirection w:val="lrTb"/>
            <w:noWrap w:val="false"/>
          </w:tcPr>
          <w:p>
            <w:pPr>
              <w:pStyle w:val="1126"/>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395" w:type="dxa"/>
            <w:vAlign w:val="center"/>
            <w:textDirection w:val="lrTb"/>
            <w:noWrap w:val="false"/>
          </w:tcPr>
          <w:p>
            <w:pPr>
              <w:pStyle w:val="1126"/>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069" w:type="dxa"/>
            <w:vAlign w:val="center"/>
            <w:textDirection w:val="lrTb"/>
            <w:noWrap w:val="false"/>
          </w:tcPr>
          <w:p>
            <w:pPr>
              <w:pStyle w:val="1126"/>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956" w:type="dxa"/>
            <w:vAlign w:val="top"/>
            <w:textDirection w:val="lrTb"/>
            <w:noWrap w:val="false"/>
          </w:tcPr>
          <w:p>
            <w:pPr>
              <w:pStyle w:val="1126"/>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720" w:type="dxa"/>
            <w:vAlign w:val="center"/>
            <w:textDirection w:val="lrTb"/>
            <w:noWrap w:val="false"/>
          </w:tcPr>
          <w:p>
            <w:pPr>
              <w:pStyle w:val="1126"/>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519" w:type="dxa"/>
            <w:vAlign w:val="center"/>
            <w:textDirection w:val="lrTb"/>
            <w:noWrap w:val="false"/>
          </w:tcPr>
          <w:p>
            <w:pPr>
              <w:pStyle w:val="1126"/>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243" w:type="dxa"/>
            <w:vAlign w:val="center"/>
            <w:textDirection w:val="lrTb"/>
            <w:noWrap w:val="false"/>
          </w:tcPr>
          <w:p>
            <w:pPr>
              <w:pStyle w:val="1126"/>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260" w:type="dxa"/>
            <w:vAlign w:val="center"/>
            <w:textDirection w:val="lrTb"/>
            <w:noWrap w:val="false"/>
          </w:tcPr>
          <w:p>
            <w:pPr>
              <w:pStyle w:val="1126"/>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620" w:type="dxa"/>
            <w:vAlign w:val="center"/>
            <w:textDirection w:val="lrTb"/>
            <w:noWrap w:val="false"/>
          </w:tcPr>
          <w:p>
            <w:pPr>
              <w:pStyle w:val="1126"/>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r>
      <w:tr>
        <w:trPr>
          <w:trHeight w:val="543" w:hRule="exact"/>
        </w:trPr>
        <w:tc>
          <w:tcPr>
            <w:gridSpan w:val="4"/>
            <w:tcW w:w="5293" w:type="dxa"/>
            <w:vAlign w:val="center"/>
            <w:textDirection w:val="lrTb"/>
            <w:noWrap w:val="false"/>
          </w:tcPr>
          <w:p>
            <w:pPr>
              <w:pStyle w:val="1126"/>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合计人民币金额(小</w:t>
            </w:r>
            <w:r>
              <w:rPr>
                <w:rFonts w:hint="eastAsia" w:ascii="宋体" w:hAnsi="宋体" w:cs="宋体"/>
                <w:b/>
                <w:color w:val="000000"/>
                <w:sz w:val="24"/>
                <w:highlight w:val="none"/>
                <w:cs/>
                <w:lang w:bidi="he-IL"/>
              </w:rPr>
              <w:t xml:space="preserve">写</w:t>
            </w:r>
            <w:r>
              <w:rPr>
                <w:rFonts w:hint="eastAsia" w:ascii="宋体" w:hAnsi="宋体" w:cs="宋体"/>
                <w:b/>
                <w:color w:val="000000"/>
                <w:sz w:val="24"/>
                <w:highlight w:val="none"/>
                <w:lang w:bidi="he-IL"/>
              </w:rPr>
              <w:t xml:space="preserve">)：¥ </w:t>
            </w:r>
            <w:r>
              <w:rPr>
                <w:rFonts w:hint="eastAsia" w:ascii="宋体" w:hAnsi="宋体" w:cs="宋体"/>
                <w:b/>
                <w:color w:val="000000"/>
                <w:sz w:val="24"/>
                <w:highlight w:val="none"/>
                <w:lang w:bidi="he-IL"/>
              </w:rPr>
            </w:r>
            <w:r/>
          </w:p>
        </w:tc>
        <w:tc>
          <w:tcPr>
            <w:gridSpan w:val="5"/>
            <w:tcW w:w="5362" w:type="dxa"/>
            <w:vAlign w:val="center"/>
            <w:textDirection w:val="lrTb"/>
            <w:noWrap w:val="false"/>
          </w:tcPr>
          <w:p>
            <w:pPr>
              <w:pStyle w:val="1126"/>
              <w:spacing w:line="360" w:lineRule="auto"/>
              <w:rPr>
                <w:rFonts w:hint="eastAsia" w:ascii="宋体" w:hAnsi="宋体" w:cs="宋体"/>
                <w:color w:val="000000"/>
                <w:sz w:val="24"/>
                <w:highlight w:val="none"/>
                <w:lang w:bidi="he-IL"/>
              </w:rPr>
            </w:pPr>
            <w:r>
              <w:rPr>
                <w:rFonts w:hint="eastAsia" w:ascii="宋体" w:hAnsi="宋体" w:cs="宋体"/>
                <w:b/>
                <w:color w:val="000000"/>
                <w:sz w:val="24"/>
                <w:highlight w:val="none"/>
                <w:lang w:bidi="he-IL"/>
              </w:rPr>
              <w:t xml:space="preserve">合计人民币金额(</w:t>
            </w:r>
            <w:r>
              <w:rPr>
                <w:rFonts w:hint="eastAsia" w:ascii="宋体" w:hAnsi="宋体" w:cs="宋体"/>
                <w:b/>
                <w:color w:val="000000"/>
                <w:sz w:val="24"/>
                <w:highlight w:val="none"/>
                <w:cs/>
                <w:lang w:bidi="he-IL"/>
              </w:rPr>
              <w:t xml:space="preserve">大写</w:t>
            </w:r>
            <w:r>
              <w:rPr>
                <w:rFonts w:hint="eastAsia" w:ascii="宋体" w:hAnsi="宋体" w:cs="宋体"/>
                <w:b/>
                <w:color w:val="000000"/>
                <w:sz w:val="24"/>
                <w:highlight w:val="none"/>
                <w:lang w:bidi="he-IL"/>
              </w:rPr>
              <w:t xml:space="preserve">)： </w:t>
            </w:r>
            <w:r>
              <w:rPr>
                <w:rFonts w:hint="eastAsia" w:ascii="宋体" w:hAnsi="宋体" w:cs="宋体"/>
                <w:color w:val="000000"/>
                <w:sz w:val="24"/>
                <w:highlight w:val="none"/>
                <w:lang w:bidi="he-IL"/>
              </w:rPr>
            </w:r>
            <w:r/>
          </w:p>
        </w:tc>
      </w:tr>
    </w:tbl>
    <w:p>
      <w:pPr>
        <w:pStyle w:val="112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二、</w:t>
      </w:r>
      <w:r>
        <w:rPr>
          <w:rFonts w:hint="eastAsia" w:ascii="宋体" w:hAnsi="宋体" w:cs="宋体"/>
          <w:b/>
          <w:color w:val="000000"/>
          <w:sz w:val="24"/>
          <w:highlight w:val="none"/>
        </w:rPr>
        <w:t xml:space="preserve">设备详细配置：</w:t>
      </w:r>
      <w:r>
        <w:rPr>
          <w:rFonts w:hint="eastAsia" w:ascii="宋体" w:hAnsi="宋体" w:cs="宋体"/>
          <w:b/>
          <w:color w:val="000000"/>
          <w:sz w:val="24"/>
          <w:highlight w:val="none"/>
        </w:rPr>
      </w:r>
      <w:r/>
    </w:p>
    <w:p>
      <w:pPr>
        <w:pStyle w:val="1126"/>
        <w:ind w:firstLine="71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见附件1。</w:t>
      </w:r>
      <w:r>
        <w:rPr>
          <w:rFonts w:hint="eastAsia" w:ascii="宋体" w:hAnsi="宋体" w:cs="宋体"/>
          <w:color w:val="000000"/>
          <w:sz w:val="24"/>
          <w:highlight w:val="none"/>
        </w:rPr>
      </w:r>
      <w:r/>
    </w:p>
    <w:p>
      <w:pPr>
        <w:pStyle w:val="1126"/>
        <w:ind w:left="482" w:hanging="482"/>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三、售后服务和要求:</w:t>
      </w:r>
      <w:r>
        <w:rPr>
          <w:rFonts w:hint="eastAsia" w:ascii="宋体" w:hAnsi="宋体" w:cs="宋体"/>
          <w:b/>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1. 设备验收以甲方的验收报告为准，自双方约定的技术验收通过第二天起计算质保期，整机含配件免费全保</w:t>
      </w:r>
      <w:r>
        <w:rPr>
          <w:rFonts w:hint="eastAsia" w:ascii="宋体" w:hAnsi="宋体" w:cs="宋体"/>
          <w:color w:val="000000"/>
          <w:sz w:val="24"/>
          <w:highlight w:val="none"/>
          <w:u w:val="single"/>
          <w:lang w:bidi="he-IL"/>
        </w:rPr>
        <w:t xml:space="preserve">   </w:t>
      </w:r>
      <w:r>
        <w:rPr>
          <w:rFonts w:hint="eastAsia" w:ascii="宋体" w:hAnsi="宋体" w:cs="宋体"/>
          <w:color w:val="000000"/>
          <w:sz w:val="24"/>
          <w:highlight w:val="none"/>
          <w:lang w:bidi="he-IL"/>
        </w:rPr>
        <w:t xml:space="preserve">年；质保期过后终身维修，</w:t>
      </w:r>
      <w:r>
        <w:rPr>
          <w:rFonts w:hint="eastAsia" w:ascii="宋体" w:hAnsi="宋体" w:cs="宋体"/>
          <w:color w:val="000000"/>
          <w:sz w:val="24"/>
          <w:highlight w:val="none"/>
        </w:rPr>
        <w:t xml:space="preserve">免收人工费，只收配件费，提供配件价格清单。</w:t>
      </w:r>
      <w:r>
        <w:rPr>
          <w:rFonts w:hint="eastAsia" w:ascii="宋体" w:hAnsi="宋体" w:cs="宋体"/>
          <w:color w:val="000000"/>
          <w:sz w:val="24"/>
          <w:highlight w:val="none"/>
          <w:lang w:bidi="he-IL"/>
        </w:rPr>
        <w:t xml:space="preserve">但在本合同质保期过后，甲方有权选择是否购买维保，若甲方选择购买维保，乙方应与甲方另行签订维保合同，且维保价格（全保）不高于</w:t>
      </w:r>
      <w:r>
        <w:rPr>
          <w:rFonts w:hint="eastAsia" w:ascii="宋体" w:hAnsi="宋体" w:cs="宋体"/>
          <w:color w:val="000000"/>
          <w:sz w:val="24"/>
          <w:highlight w:val="none"/>
          <w:u w:val="single"/>
          <w:lang w:bidi="he-IL"/>
        </w:rPr>
        <w:t xml:space="preserve">     </w:t>
      </w:r>
      <w:r>
        <w:rPr>
          <w:rFonts w:hint="eastAsia" w:ascii="宋体" w:hAnsi="宋体" w:cs="宋体"/>
          <w:color w:val="000000"/>
          <w:sz w:val="24"/>
          <w:highlight w:val="none"/>
          <w:lang w:bidi="he-IL"/>
        </w:rPr>
        <w:t xml:space="preserve">元/台/年，维保期间乙方免费提供所有零配件及服务。</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2. </w:t>
      </w:r>
      <w:r>
        <w:rPr>
          <w:rFonts w:hint="eastAsia" w:ascii="宋体" w:hAnsi="宋体" w:cs="宋体"/>
          <w:color w:val="000000"/>
          <w:sz w:val="24"/>
          <w:highlight w:val="none"/>
        </w:rPr>
        <w:t xml:space="preserve">确保设备质保期内开机率为95%。如设备故障停机率超过5%（一年按365天计算，每年18天），每超过一天，质保期延长两周。</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3. </w:t>
      </w:r>
      <w:r>
        <w:rPr>
          <w:rFonts w:hint="eastAsia" w:ascii="宋体" w:hAnsi="宋体" w:cs="宋体"/>
          <w:color w:val="000000"/>
          <w:sz w:val="24"/>
          <w:highlight w:val="none"/>
        </w:rPr>
        <w:t xml:space="preserve">如设备发生故障，乙方在接到甲方质保电话2小时内予以响应，24小时内修复完成，如果不能修复完成</w:t>
      </w:r>
      <w:r>
        <w:rPr>
          <w:rFonts w:hint="eastAsia" w:ascii="宋体" w:hAnsi="宋体" w:cs="宋体"/>
          <w:color w:val="000000"/>
          <w:sz w:val="24"/>
          <w:highlight w:val="none"/>
          <w:lang w:bidi="he-IL"/>
        </w:rPr>
        <w:t xml:space="preserve">，公司提供样机确保甲方在质保期内工作正常进行；如不能提供样机，</w:t>
      </w:r>
      <w:r>
        <w:rPr>
          <w:rFonts w:hint="eastAsia" w:ascii="宋体" w:hAnsi="宋体" w:cs="宋体"/>
          <w:color w:val="000000"/>
          <w:sz w:val="24"/>
          <w:highlight w:val="none"/>
        </w:rPr>
        <w:t xml:space="preserve">当天不能修复完成</w:t>
      </w:r>
      <w:r>
        <w:rPr>
          <w:rFonts w:hint="eastAsia" w:ascii="宋体" w:hAnsi="宋体" w:cs="宋体"/>
          <w:color w:val="000000"/>
          <w:sz w:val="24"/>
          <w:highlight w:val="none"/>
          <w:lang w:bidi="he-IL"/>
        </w:rPr>
        <w:t xml:space="preserve">，应提前告知甲方，抓紧组织维修，超过一天，质保期延长两周。</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4. 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u w:val="single"/>
          <w:lang w:bidi="he-IL"/>
        </w:rPr>
      </w:pPr>
      <w:r>
        <w:rPr>
          <w:rFonts w:hint="eastAsia" w:ascii="宋体" w:hAnsi="宋体" w:cs="宋体"/>
          <w:color w:val="000000"/>
          <w:sz w:val="24"/>
          <w:highlight w:val="none"/>
          <w:lang w:bidi="he-IL"/>
        </w:rPr>
        <w:t xml:space="preserve">5. 其他特别承诺的售后服务：</w:t>
      </w:r>
      <w:r>
        <w:rPr>
          <w:rFonts w:hint="eastAsia" w:ascii="宋体" w:hAnsi="宋体" w:cs="宋体"/>
          <w:color w:val="000000"/>
          <w:sz w:val="24"/>
          <w:highlight w:val="none"/>
          <w:u w:val="single"/>
          <w:lang w:bidi="he-IL"/>
        </w:rPr>
        <w:t xml:space="preserve">                                                        </w:t>
      </w:r>
      <w:r>
        <w:rPr>
          <w:rFonts w:hint="eastAsia" w:ascii="宋体" w:hAnsi="宋体" w:cs="宋体"/>
          <w:color w:val="000000"/>
          <w:sz w:val="24"/>
          <w:highlight w:val="none"/>
          <w:u w:val="single"/>
          <w:lang w:bidi="he-IL"/>
        </w:rPr>
      </w:r>
      <w:r/>
    </w:p>
    <w:p>
      <w:pPr>
        <w:pStyle w:val="1126"/>
        <w:ind w:left="590" w:hanging="590"/>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rPr>
        <w:t xml:space="preserve">四、</w:t>
      </w:r>
      <w:r>
        <w:rPr>
          <w:rFonts w:hint="eastAsia" w:ascii="宋体" w:hAnsi="宋体" w:cs="宋体"/>
          <w:b/>
          <w:color w:val="000000"/>
          <w:sz w:val="24"/>
          <w:highlight w:val="none"/>
          <w:lang w:bidi="he-IL"/>
        </w:rPr>
        <w:t xml:space="preserve">到货时间</w:t>
      </w:r>
      <w:r>
        <w:rPr>
          <w:rFonts w:hint="eastAsia" w:ascii="宋体" w:hAnsi="宋体" w:cs="宋体"/>
          <w:b/>
          <w:color w:val="000000"/>
          <w:sz w:val="24"/>
          <w:highlight w:val="none"/>
          <w:lang w:bidi="he-IL"/>
        </w:rPr>
        <w:t xml:space="preserve">：</w:t>
      </w:r>
      <w:r>
        <w:rPr>
          <w:rFonts w:hint="eastAsia" w:ascii="宋体" w:hAnsi="宋体" w:cs="宋体"/>
          <w:b/>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自合同签订之日起</w:t>
      </w:r>
      <w:r>
        <w:rPr>
          <w:rFonts w:hint="eastAsia" w:ascii="宋体" w:hAnsi="宋体" w:cs="宋体"/>
          <w:color w:val="000000"/>
          <w:sz w:val="24"/>
          <w:highlight w:val="none"/>
          <w:u w:val="single"/>
          <w:lang w:bidi="he-IL"/>
        </w:rPr>
        <w:t xml:space="preserve">     </w:t>
      </w:r>
      <w:r>
        <w:rPr>
          <w:rFonts w:hint="eastAsia" w:ascii="宋体" w:hAnsi="宋体" w:cs="宋体"/>
          <w:color w:val="000000"/>
          <w:sz w:val="24"/>
          <w:highlight w:val="none"/>
          <w:lang w:bidi="he-IL"/>
        </w:rPr>
        <w:t xml:space="preserve">内到货，如逾期到货，每日按该货款金额千分之五承担违约金，逾期60日仍不能到货的，甲方有权解除本合同，并由乙方承担该货款金额30%的违约金。</w:t>
      </w:r>
      <w:r>
        <w:rPr>
          <w:rFonts w:hint="eastAsia" w:ascii="宋体" w:hAnsi="宋体" w:cs="宋体"/>
          <w:color w:val="000000"/>
          <w:sz w:val="24"/>
          <w:highlight w:val="none"/>
          <w:lang w:bidi="he-IL"/>
        </w:rPr>
      </w:r>
      <w:r/>
    </w:p>
    <w:p>
      <w:pPr>
        <w:pStyle w:val="1126"/>
        <w:ind w:left="600" w:hanging="60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五、交货地点：</w:t>
      </w:r>
      <w:r>
        <w:rPr>
          <w:rFonts w:hint="eastAsia" w:ascii="宋体" w:hAnsi="宋体" w:cs="宋体"/>
          <w:b/>
          <w:color w:val="000000"/>
          <w:sz w:val="24"/>
          <w:highlight w:val="none"/>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甲方指定地点，货损风险自验收合格交付甲方之日起转移。</w:t>
      </w:r>
      <w:r>
        <w:rPr>
          <w:rFonts w:hint="eastAsia" w:ascii="宋体" w:hAnsi="宋体" w:cs="宋体"/>
          <w:color w:val="000000"/>
          <w:sz w:val="24"/>
          <w:highlight w:val="none"/>
          <w:lang w:bidi="he-IL"/>
        </w:rPr>
      </w:r>
      <w:r/>
    </w:p>
    <w:p>
      <w:pPr>
        <w:pStyle w:val="1126"/>
        <w:ind w:left="600" w:hanging="60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六、付款方式和要求：</w:t>
      </w:r>
      <w:r>
        <w:rPr>
          <w:rFonts w:hint="eastAsia" w:ascii="宋体" w:hAnsi="宋体" w:cs="宋体"/>
          <w:b/>
          <w:color w:val="000000"/>
          <w:sz w:val="24"/>
          <w:highlight w:val="none"/>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1. 首付款（30%）</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设备完成安装、调试并经</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验收合格，且</w:t>
      </w:r>
      <w:r>
        <w:rPr>
          <w:rFonts w:hint="eastAsia" w:ascii="宋体" w:hAnsi="宋体" w:cs="宋体"/>
          <w:color w:val="000000"/>
          <w:sz w:val="24"/>
          <w:highlight w:val="none"/>
          <w:lang w:eastAsia="zh-CN" w:bidi="he-IL"/>
        </w:rPr>
        <w:t xml:space="preserve">乙方</w:t>
      </w:r>
      <w:r>
        <w:rPr>
          <w:rFonts w:hint="eastAsia" w:ascii="宋体" w:hAnsi="宋体" w:cs="宋体"/>
          <w:color w:val="000000"/>
          <w:sz w:val="24"/>
          <w:highlight w:val="none"/>
          <w:lang w:bidi="he-IL"/>
        </w:rPr>
        <w:t xml:space="preserve">完成对</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操作人员的培训指导并取得《培训完成确认单》后，</w:t>
      </w:r>
      <w:r>
        <w:rPr>
          <w:rFonts w:hint="eastAsia" w:ascii="宋体" w:hAnsi="宋体" w:cs="宋体"/>
          <w:color w:val="000000"/>
          <w:sz w:val="24"/>
          <w:highlight w:val="none"/>
          <w:lang w:eastAsia="zh-CN" w:bidi="he-IL"/>
        </w:rPr>
        <w:t xml:space="preserve">乙方</w:t>
      </w:r>
      <w:r>
        <w:rPr>
          <w:rFonts w:hint="eastAsia" w:ascii="宋体" w:hAnsi="宋体" w:cs="宋体"/>
          <w:color w:val="000000"/>
          <w:sz w:val="24"/>
          <w:highlight w:val="none"/>
          <w:lang w:bidi="he-IL"/>
        </w:rPr>
        <w:t xml:space="preserve">向</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提供对应30%货款的增值税发票。</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收到上述凭证后，按医院签票流程支付首付款（具体到账时间以</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付款流程为准）。</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2. 二期款（60%）</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设备验收合格后正常运行满3-4个月，</w:t>
      </w:r>
      <w:r>
        <w:rPr>
          <w:rFonts w:hint="eastAsia" w:ascii="宋体" w:hAnsi="宋体" w:cs="宋体"/>
          <w:color w:val="000000"/>
          <w:sz w:val="24"/>
          <w:highlight w:val="none"/>
          <w:lang w:eastAsia="zh-CN" w:bidi="he-IL"/>
        </w:rPr>
        <w:t xml:space="preserve">乙方</w:t>
      </w:r>
      <w:r>
        <w:rPr>
          <w:rFonts w:hint="eastAsia" w:ascii="宋体" w:hAnsi="宋体" w:cs="宋体"/>
          <w:color w:val="000000"/>
          <w:sz w:val="24"/>
          <w:highlight w:val="none"/>
          <w:lang w:bidi="he-IL"/>
        </w:rPr>
        <w:t xml:space="preserve">向</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提供剩余60%货款的增值税发票。</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收到发票后，按上述流程支付二期款（具体到账时间以</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付款流程为准）。</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3. 尾款（10%）</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设备验收合格满12个月，且无质量及服务争议（或争议已妥善解决），</w:t>
      </w:r>
      <w:r>
        <w:rPr>
          <w:rFonts w:hint="eastAsia" w:ascii="宋体" w:hAnsi="宋体" w:cs="宋体"/>
          <w:color w:val="000000"/>
          <w:sz w:val="24"/>
          <w:highlight w:val="none"/>
          <w:lang w:eastAsia="zh-CN" w:bidi="he-IL"/>
        </w:rPr>
        <w:t xml:space="preserve">乙方</w:t>
      </w:r>
      <w:r>
        <w:rPr>
          <w:rFonts w:hint="eastAsia" w:ascii="宋体" w:hAnsi="宋体" w:cs="宋体"/>
          <w:color w:val="000000"/>
          <w:sz w:val="24"/>
          <w:highlight w:val="none"/>
          <w:lang w:bidi="he-IL"/>
        </w:rPr>
        <w:t xml:space="preserve">向</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提供剩余10%货款的增值税发票。</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收到发票后，按上述流程付清尾款（具体到账时间以</w:t>
      </w:r>
      <w:r>
        <w:rPr>
          <w:rFonts w:hint="eastAsia" w:ascii="宋体" w:hAnsi="宋体" w:cs="宋体"/>
          <w:color w:val="000000"/>
          <w:sz w:val="24"/>
          <w:highlight w:val="none"/>
          <w:lang w:eastAsia="zh-CN" w:bidi="he-IL"/>
        </w:rPr>
        <w:t xml:space="preserve">甲方</w:t>
      </w:r>
      <w:r>
        <w:rPr>
          <w:rFonts w:hint="eastAsia" w:ascii="宋体" w:hAnsi="宋体" w:cs="宋体"/>
          <w:color w:val="000000"/>
          <w:sz w:val="24"/>
          <w:highlight w:val="none"/>
          <w:lang w:bidi="he-IL"/>
        </w:rPr>
        <w:t xml:space="preserve">付款流程为准）。</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val="en-US" w:eastAsia="zh-CN" w:bidi="he-IL"/>
        </w:rPr>
        <w:t xml:space="preserve">4</w:t>
      </w:r>
      <w:r>
        <w:rPr>
          <w:rFonts w:hint="eastAsia" w:ascii="宋体" w:hAnsi="宋体" w:cs="宋体"/>
          <w:color w:val="000000"/>
          <w:sz w:val="24"/>
          <w:highlight w:val="none"/>
          <w:lang w:bidi="he-IL"/>
        </w:rPr>
        <w:t xml:space="preserve">.设备验收合格后，乙方所开发票，应确保发票上所列品名、型号、金额与合同所列完全一致。</w:t>
      </w:r>
      <w:r>
        <w:rPr>
          <w:rFonts w:hint="eastAsia" w:ascii="宋体" w:hAnsi="宋体" w:cs="宋体"/>
          <w:color w:val="000000"/>
          <w:sz w:val="24"/>
          <w:highlight w:val="none"/>
          <w:lang w:bidi="he-IL"/>
        </w:rPr>
      </w:r>
      <w:r/>
    </w:p>
    <w:p>
      <w:pPr>
        <w:pStyle w:val="1126"/>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val="en-US" w:eastAsia="zh-CN" w:bidi="he-IL"/>
        </w:rPr>
        <w:t xml:space="preserve">5</w:t>
      </w:r>
      <w:r>
        <w:rPr>
          <w:rFonts w:hint="eastAsia" w:ascii="宋体" w:hAnsi="宋体" w:cs="宋体"/>
          <w:color w:val="000000"/>
          <w:sz w:val="24"/>
          <w:highlight w:val="none"/>
          <w:lang w:bidi="he-IL"/>
        </w:rPr>
        <w:t xml:space="preserve">.乙方收款信息如下，如有变更应当提前3日书面告知甲方，否则乙方自行承担不利后果：</w:t>
      </w:r>
      <w:r>
        <w:rPr>
          <w:rFonts w:hint="eastAsia" w:ascii="宋体" w:hAnsi="宋体" w:cs="宋体"/>
          <w:color w:val="000000"/>
          <w:sz w:val="24"/>
          <w:highlight w:val="none"/>
          <w:lang w:bidi="he-IL"/>
        </w:rPr>
      </w:r>
      <w:r/>
    </w:p>
    <w:p>
      <w:pPr>
        <w:pStyle w:val="1126"/>
        <w:ind w:left="412"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公司名称：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26"/>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lang w:bidi="he-IL"/>
        </w:rPr>
        <w:t xml:space="preserve">：                                                         </w:t>
      </w:r>
      <w:r>
        <w:rPr>
          <w:rFonts w:hint="eastAsia" w:ascii="宋体" w:hAnsi="宋体" w:cs="宋体"/>
          <w:color w:val="000000"/>
          <w:sz w:val="24"/>
          <w:highlight w:val="none"/>
        </w:rPr>
      </w:r>
      <w:r/>
    </w:p>
    <w:p>
      <w:pPr>
        <w:pStyle w:val="1126"/>
        <w:ind w:left="412"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26"/>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七、资质、质量要求及技术标准：</w:t>
      </w:r>
      <w:r>
        <w:rPr>
          <w:rFonts w:hint="eastAsia" w:ascii="宋体" w:hAnsi="宋体" w:cs="宋体"/>
          <w:color w:val="000000"/>
          <w:sz w:val="24"/>
          <w:highlight w:val="none"/>
        </w:rPr>
      </w:r>
      <w:r/>
    </w:p>
    <w:p>
      <w:pPr>
        <w:pStyle w:val="1126"/>
        <w:ind w:left="41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cs="宋体"/>
          <w:color w:val="000000"/>
          <w:sz w:val="24"/>
          <w:highlight w:val="none"/>
        </w:rPr>
      </w:r>
      <w:r/>
    </w:p>
    <w:p>
      <w:pPr>
        <w:pStyle w:val="1126"/>
        <w:ind w:left="41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cs="宋体"/>
          <w:color w:val="000000"/>
          <w:sz w:val="24"/>
          <w:highlight w:val="none"/>
        </w:rPr>
      </w:r>
      <w:r/>
    </w:p>
    <w:p>
      <w:pPr>
        <w:pStyle w:val="1126"/>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乙方所提供的产品的技术标准适用国家、行业、企业标准之中最严格的技术标准，且能够实现本合同之目的。</w:t>
      </w:r>
      <w:r>
        <w:rPr>
          <w:rFonts w:hint="eastAsia" w:ascii="宋体" w:hAnsi="宋体" w:cs="宋体"/>
          <w:color w:val="000000"/>
          <w:sz w:val="24"/>
          <w:highlight w:val="none"/>
        </w:rPr>
      </w:r>
      <w:r/>
    </w:p>
    <w:p>
      <w:pPr>
        <w:pStyle w:val="1126"/>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其他未提及事项必须符合国家药品监督管理局的相关规定。</w:t>
      </w:r>
      <w:r>
        <w:rPr>
          <w:rFonts w:hint="eastAsia" w:ascii="宋体" w:hAnsi="宋体" w:cs="宋体"/>
          <w:color w:val="000000"/>
          <w:sz w:val="24"/>
          <w:highlight w:val="none"/>
        </w:rPr>
      </w:r>
      <w:r/>
    </w:p>
    <w:p>
      <w:pPr>
        <w:pStyle w:val="1126"/>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 乙方提供的设备均需满足国家网络信息安全要求。</w:t>
      </w:r>
      <w:r>
        <w:rPr>
          <w:rFonts w:hint="eastAsia" w:ascii="宋体" w:hAnsi="宋体" w:cs="宋体"/>
          <w:color w:val="000000"/>
          <w:sz w:val="24"/>
          <w:highlight w:val="none"/>
        </w:rPr>
      </w:r>
      <w:r/>
    </w:p>
    <w:p>
      <w:pPr>
        <w:pStyle w:val="1126"/>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以上条款必须满足，否则由此引起的一切责任由乙方负责。</w:t>
      </w:r>
      <w:r>
        <w:rPr>
          <w:rFonts w:hint="eastAsia" w:ascii="宋体" w:hAnsi="宋体" w:cs="宋体"/>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八、设备到货、安装、验收和培训：</w:t>
      </w:r>
      <w:r>
        <w:rPr>
          <w:rFonts w:hint="eastAsia" w:ascii="宋体" w:hAnsi="宋体" w:cs="宋体"/>
          <w:b/>
          <w:color w:val="000000"/>
          <w:sz w:val="24"/>
          <w:highlight w:val="none"/>
        </w:rPr>
      </w:r>
      <w:r/>
    </w:p>
    <w:p>
      <w:pPr>
        <w:pStyle w:val="1126"/>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cs="宋体"/>
          <w:color w:val="000000"/>
          <w:sz w:val="24"/>
          <w:highlight w:val="none"/>
        </w:rPr>
      </w:r>
      <w:r/>
    </w:p>
    <w:p>
      <w:pPr>
        <w:pStyle w:val="1126"/>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在安装过程中或安装结束后，乙方工程师负责对甲方进行操作、保养和维修的培训，必要时需按照事先约定跟台手术。</w:t>
      </w:r>
      <w:r>
        <w:rPr>
          <w:rFonts w:hint="eastAsia" w:ascii="宋体" w:hAnsi="宋体" w:cs="宋体"/>
          <w:color w:val="000000"/>
          <w:sz w:val="24"/>
          <w:highlight w:val="none"/>
        </w:rPr>
      </w:r>
      <w:r/>
    </w:p>
    <w:p>
      <w:pPr>
        <w:pStyle w:val="1126"/>
        <w:ind w:left="420" w:firstLine="48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乙方所供设备如验收不合格，根据甲方的要求，乙方必须无条件换货或退货，由此引起的一切损失由乙方承担。</w:t>
      </w:r>
      <w:r>
        <w:rPr>
          <w:rFonts w:hint="eastAsia" w:ascii="宋体" w:hAnsi="宋体" w:cs="宋体"/>
          <w:color w:val="000000"/>
          <w:sz w:val="24"/>
          <w:highlight w:val="none"/>
        </w:rPr>
      </w:r>
      <w:r/>
    </w:p>
    <w:p>
      <w:pPr>
        <w:pStyle w:val="1126"/>
        <w:ind w:left="41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设备到货后，乙方应提供给甲方机电设备进口证明（如需要）、报关单、海关免税证明（如免税）、原产地证书、质量保证书、商检证书、安装图纸、全套随机技术资料等。</w:t>
      </w:r>
      <w:r>
        <w:rPr>
          <w:rFonts w:hint="eastAsia" w:ascii="宋体" w:hAnsi="宋体" w:cs="宋体"/>
          <w:color w:val="000000"/>
          <w:sz w:val="24"/>
          <w:highlight w:val="none"/>
        </w:rPr>
      </w:r>
      <w:r/>
    </w:p>
    <w:p>
      <w:pPr>
        <w:pStyle w:val="1126"/>
        <w:ind w:left="41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 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rPr>
          <w:rFonts w:hint="eastAsia" w:ascii="宋体" w:hAnsi="宋体" w:cs="宋体"/>
          <w:color w:val="000000"/>
          <w:sz w:val="24"/>
          <w:highlight w:val="none"/>
        </w:rPr>
      </w:r>
      <w:r/>
    </w:p>
    <w:p>
      <w:pPr>
        <w:pStyle w:val="1126"/>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九、违约责任：</w:t>
      </w:r>
      <w:r>
        <w:rPr>
          <w:rFonts w:hint="eastAsia" w:ascii="宋体" w:hAnsi="宋体" w:cs="宋体"/>
          <w:color w:val="000000"/>
          <w:sz w:val="24"/>
          <w:highlight w:val="none"/>
        </w:rPr>
      </w:r>
      <w:r/>
    </w:p>
    <w:p>
      <w:pPr>
        <w:pStyle w:val="1126"/>
        <w:ind w:left="424" w:firstLine="480"/>
        <w:spacing w:after="120" w:line="360" w:lineRule="auto"/>
        <w:rPr>
          <w:rFonts w:hint="eastAsia" w:ascii="宋体" w:hAnsi="宋体" w:cs="宋体"/>
          <w:bCs/>
          <w:color w:val="000000"/>
          <w:sz w:val="24"/>
          <w:highlight w:val="none"/>
          <w:lang w:val="en-AU"/>
        </w:rPr>
      </w:pPr>
      <w:r>
        <w:rPr>
          <w:rFonts w:hint="eastAsia" w:ascii="宋体" w:hAnsi="宋体" w:cs="宋体"/>
          <w:color w:val="000000"/>
          <w:sz w:val="24"/>
          <w:highlight w:val="none"/>
        </w:rPr>
        <w:t xml:space="preserve">甲乙双方在执行合同时应依照《中华人民共和国民法典》执行。对于本合同未尽事宜，甲乙双方友好协商解决。若出现纠纷，协商不成时,任何一方均可向甲方所在地人民法院提起诉讼。                                                                        </w:t>
      </w:r>
      <w:r>
        <w:rPr>
          <w:rFonts w:hint="eastAsia" w:ascii="宋体" w:hAnsi="宋体" w:cs="宋体"/>
          <w:bCs/>
          <w:color w:val="000000"/>
          <w:sz w:val="24"/>
          <w:highlight w:val="none"/>
          <w:lang w:val="en-AU"/>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val="en-AU"/>
        </w:rPr>
        <w:t xml:space="preserve">合同生效：</w:t>
      </w:r>
      <w:r>
        <w:rPr>
          <w:rFonts w:hint="eastAsia" w:ascii="宋体" w:hAnsi="宋体" w:cs="宋体"/>
          <w:b/>
          <w:color w:val="000000"/>
          <w:sz w:val="24"/>
          <w:highlight w:val="none"/>
        </w:rPr>
      </w:r>
      <w:r/>
    </w:p>
    <w:p>
      <w:pPr>
        <w:pStyle w:val="1126"/>
        <w:ind w:firstLine="960"/>
        <w:spacing w:line="360" w:lineRule="auto"/>
        <w:rPr>
          <w:rFonts w:hint="eastAsia" w:ascii="宋体" w:hAnsi="宋体" w:cs="宋体"/>
          <w:bCs/>
          <w:color w:val="000000"/>
          <w:sz w:val="24"/>
          <w:highlight w:val="none"/>
          <w:lang w:val="en-AU"/>
        </w:rPr>
      </w:pPr>
      <w:r>
        <w:rPr>
          <w:rFonts w:hint="eastAsia" w:ascii="宋体" w:hAnsi="宋体" w:cs="宋体"/>
          <w:bCs/>
          <w:color w:val="000000"/>
          <w:sz w:val="24"/>
          <w:highlight w:val="none"/>
          <w:lang w:val="en-AU"/>
        </w:rPr>
        <w:t xml:space="preserve">本合同应经双方法定代表人或授权代表签字、双方盖章（包括骑缝章）后始生效。</w:t>
      </w:r>
      <w:r>
        <w:rPr>
          <w:rFonts w:hint="eastAsia" w:ascii="宋体" w:hAnsi="宋体" w:cs="宋体"/>
          <w:bCs/>
          <w:color w:val="000000"/>
          <w:sz w:val="24"/>
          <w:highlight w:val="none"/>
          <w:lang w:val="en-AU"/>
        </w:rPr>
      </w:r>
      <w:r/>
    </w:p>
    <w:p>
      <w:pPr>
        <w:pStyle w:val="1126"/>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十一、</w:t>
      </w:r>
      <w:r>
        <w:rPr>
          <w:rFonts w:hint="eastAsia" w:ascii="宋体" w:hAnsi="宋体" w:cs="宋体"/>
          <w:b/>
          <w:bCs/>
          <w:color w:val="000000"/>
          <w:sz w:val="24"/>
          <w:highlight w:val="none"/>
          <w:lang w:bidi="he-IL"/>
        </w:rPr>
        <w:t xml:space="preserve">本合同一式陆份，甲方执肆份，乙方执壹份，招标代理机构持壹份，</w:t>
      </w:r>
      <w:r>
        <w:rPr>
          <w:rFonts w:hint="eastAsia" w:ascii="宋体" w:hAnsi="宋体" w:cs="宋体"/>
          <w:b/>
          <w:color w:val="000000"/>
          <w:sz w:val="24"/>
          <w:highlight w:val="none"/>
        </w:rPr>
        <w:t xml:space="preserve">每份具有同等法律效力。</w:t>
      </w: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after="120"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甲方（签章）：常州市第一人民医院 </w:t>
      </w:r>
      <w:r>
        <w:rPr>
          <w:rFonts w:hint="eastAsia" w:ascii="宋体" w:hAnsi="宋体" w:cs="宋体"/>
          <w:color w:val="000000"/>
          <w:sz w:val="24"/>
          <w:highlight w:val="none"/>
        </w:rPr>
        <w:t xml:space="preserve">       </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乙方（签章）：</w:t>
      </w:r>
      <w:r>
        <w:rPr>
          <w:rFonts w:hint="eastAsia" w:ascii="宋体" w:hAnsi="宋体" w:cs="宋体"/>
          <w:color w:val="000000"/>
          <w:sz w:val="24"/>
          <w:highlight w:val="none"/>
        </w:rPr>
      </w:r>
      <w:r/>
    </w:p>
    <w:p>
      <w:pPr>
        <w:pStyle w:val="1126"/>
        <w:spacing w:after="120"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                                    法定代表人：</w:t>
      </w:r>
      <w:r>
        <w:rPr>
          <w:rFonts w:hint="eastAsia" w:ascii="宋体" w:hAnsi="宋体" w:cs="宋体"/>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授权代表：                    </w:t>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 xml:space="preserve">             授权代表：</w:t>
      </w: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日期：                </w:t>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 xml:space="preserve">          日期：</w:t>
      </w: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（乙方授权代表联系方式：           ）</w:t>
      </w:r>
      <w:r>
        <w:rPr>
          <w:rFonts w:hint="eastAsia" w:ascii="宋体" w:hAnsi="宋体" w:cs="宋体"/>
          <w:b/>
          <w:color w:val="000000"/>
          <w:sz w:val="24"/>
          <w:highlight w:val="none"/>
        </w:rPr>
      </w:r>
      <w:r/>
    </w:p>
    <w:p>
      <w:pPr>
        <w:pStyle w:val="1126"/>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见证方： </w:t>
      </w:r>
      <w:r>
        <w:rPr>
          <w:rFonts w:hint="eastAsia" w:ascii="宋体" w:hAnsi="宋体" w:cs="宋体"/>
          <w:b/>
          <w:color w:val="000000"/>
          <w:sz w:val="24"/>
          <w:highlight w:val="none"/>
        </w:rPr>
      </w:r>
      <w:r/>
    </w:p>
    <w:p>
      <w:pPr>
        <w:pStyle w:val="1126"/>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代理机构（章）： </w:t>
      </w:r>
      <w:r>
        <w:rPr>
          <w:rFonts w:hint="eastAsia" w:ascii="宋体" w:hAnsi="宋体" w:cs="宋体"/>
          <w:b/>
          <w:color w:val="000000"/>
          <w:sz w:val="24"/>
          <w:highlight w:val="none"/>
        </w:rPr>
      </w:r>
      <w:r/>
    </w:p>
    <w:p>
      <w:pPr>
        <w:pStyle w:val="1126"/>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经办人：                      电话：</w:t>
      </w: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附件1：配置清单（建议非图片格式）</w:t>
      </w:r>
      <w:r>
        <w:rPr>
          <w:rFonts w:hint="eastAsia" w:ascii="宋体" w:hAnsi="宋体" w:cs="宋体"/>
          <w:b/>
          <w:color w:val="000000"/>
          <w:sz w:val="24"/>
          <w:highlight w:val="none"/>
        </w:rPr>
      </w:r>
      <w:r/>
    </w:p>
    <w:p>
      <w:pPr>
        <w:pStyle w:val="112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（若现场谈及配置或标书内有，则公司自行补充配置清单内容，若无，则删除该段文字信息）   </w:t>
      </w:r>
      <w:r>
        <w:rPr>
          <w:rFonts w:hint="eastAsia" w:ascii="宋体" w:hAnsi="宋体" w:cs="宋体"/>
          <w:bCs/>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附件2：维修配件价格清单、易耗品价格清单、耗材价格清单等</w:t>
      </w:r>
      <w:r>
        <w:rPr>
          <w:rFonts w:hint="eastAsia" w:ascii="宋体" w:hAnsi="宋体" w:cs="宋体"/>
          <w:b/>
          <w:color w:val="000000"/>
          <w:sz w:val="24"/>
          <w:highlight w:val="none"/>
        </w:rPr>
      </w:r>
      <w:r/>
    </w:p>
    <w:p>
      <w:pPr>
        <w:pStyle w:val="112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（若现场谈及维修配件等，则公司自行补充具体内容，若无，则删除该段文字信息）   </w:t>
      </w:r>
      <w:r>
        <w:rPr>
          <w:rFonts w:hint="eastAsia" w:ascii="宋体" w:hAnsi="宋体" w:cs="宋体"/>
          <w:bCs/>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相关耗材价格清单</w:t>
      </w:r>
      <w:r>
        <w:rPr>
          <w:rFonts w:hint="eastAsia" w:ascii="宋体" w:hAnsi="宋体" w:cs="宋体"/>
          <w:b/>
          <w:color w:val="000000"/>
          <w:sz w:val="24"/>
          <w:highlight w:val="none"/>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挂网产品名称</w:t>
            </w:r>
            <w:r>
              <w:rPr>
                <w:rFonts w:hint="eastAsia" w:ascii="宋体" w:hAnsi="宋体" w:cs="宋体"/>
                <w:b/>
                <w:color w:val="000000"/>
                <w:sz w:val="24"/>
                <w:highlight w:val="none"/>
              </w:rPr>
            </w:r>
            <w:r/>
          </w:p>
        </w:tc>
        <w:tc>
          <w:tcPr>
            <w:tcW w:w="705"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产品编码</w:t>
            </w:r>
            <w:r>
              <w:rPr>
                <w:rFonts w:hint="eastAsia" w:ascii="宋体" w:hAnsi="宋体" w:cs="宋体"/>
                <w:b/>
                <w:color w:val="000000"/>
                <w:sz w:val="24"/>
                <w:highlight w:val="none"/>
              </w:rPr>
            </w:r>
            <w:r/>
          </w:p>
        </w:tc>
        <w:tc>
          <w:tcPr>
            <w:tcW w:w="432"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品牌</w:t>
            </w:r>
            <w:r>
              <w:rPr>
                <w:rFonts w:hint="eastAsia" w:ascii="宋体" w:hAnsi="宋体" w:cs="宋体"/>
                <w:b/>
                <w:color w:val="000000"/>
                <w:sz w:val="24"/>
                <w:highlight w:val="none"/>
              </w:rPr>
            </w:r>
            <w:r/>
          </w:p>
        </w:tc>
        <w:tc>
          <w:tcPr>
            <w:tcW w:w="723"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规格型号</w:t>
            </w:r>
            <w:r>
              <w:rPr>
                <w:rFonts w:hint="eastAsia" w:ascii="宋体" w:hAnsi="宋体" w:cs="宋体"/>
                <w:b/>
                <w:color w:val="000000"/>
                <w:sz w:val="24"/>
                <w:highlight w:val="none"/>
              </w:rPr>
            </w:r>
            <w:r/>
          </w:p>
        </w:tc>
        <w:tc>
          <w:tcPr>
            <w:tcW w:w="703"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单位</w:t>
            </w:r>
            <w:r>
              <w:rPr>
                <w:rFonts w:hint="eastAsia" w:ascii="宋体" w:hAnsi="宋体" w:cs="宋体"/>
                <w:b/>
                <w:color w:val="000000"/>
                <w:sz w:val="24"/>
                <w:highlight w:val="none"/>
              </w:rPr>
            </w:r>
            <w:r/>
          </w:p>
        </w:tc>
        <w:tc>
          <w:tcPr>
            <w:tcW w:w="677"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数量</w:t>
            </w:r>
            <w:r>
              <w:rPr>
                <w:rFonts w:hint="eastAsia" w:ascii="宋体" w:hAnsi="宋体" w:cs="宋体"/>
                <w:b/>
                <w:color w:val="000000"/>
                <w:sz w:val="24"/>
                <w:highlight w:val="none"/>
              </w:rPr>
            </w:r>
            <w:r/>
          </w:p>
        </w:tc>
        <w:tc>
          <w:tcPr>
            <w:tcW w:w="1170"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制造厂商</w:t>
            </w:r>
            <w:r>
              <w:rPr>
                <w:rFonts w:hint="eastAsia" w:ascii="宋体" w:hAnsi="宋体" w:cs="宋体"/>
                <w:b/>
                <w:color w:val="000000"/>
                <w:sz w:val="24"/>
                <w:highlight w:val="none"/>
              </w:rPr>
            </w:r>
            <w:r/>
          </w:p>
        </w:tc>
        <w:tc>
          <w:tcPr>
            <w:tcW w:w="1575"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产地</w:t>
            </w:r>
            <w:r>
              <w:rPr>
                <w:rFonts w:hint="eastAsia" w:ascii="宋体" w:hAnsi="宋体" w:cs="宋体"/>
                <w:b/>
                <w:color w:val="000000"/>
                <w:sz w:val="24"/>
                <w:highlight w:val="none"/>
              </w:rPr>
            </w:r>
            <w:r/>
          </w:p>
        </w:tc>
        <w:tc>
          <w:tcPr>
            <w:tcW w:w="1095"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收费编码</w:t>
            </w:r>
            <w:r>
              <w:rPr>
                <w:rFonts w:hint="eastAsia" w:ascii="宋体" w:hAnsi="宋体" w:cs="宋体"/>
                <w:b/>
                <w:color w:val="000000"/>
                <w:sz w:val="24"/>
                <w:highlight w:val="none"/>
              </w:rPr>
            </w:r>
            <w:r/>
          </w:p>
        </w:tc>
        <w:tc>
          <w:tcPr>
            <w:tcW w:w="1335"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省平台价格</w:t>
            </w:r>
            <w:r>
              <w:rPr>
                <w:rFonts w:hint="eastAsia" w:ascii="宋体" w:hAnsi="宋体" w:cs="宋体"/>
                <w:b/>
                <w:color w:val="000000"/>
                <w:sz w:val="24"/>
                <w:highlight w:val="none"/>
              </w:rPr>
            </w:r>
            <w:r/>
          </w:p>
        </w:tc>
        <w:tc>
          <w:tcPr>
            <w:tcW w:w="885" w:type="dxa"/>
            <w:vAlign w:val="center"/>
            <w:textDirection w:val="lrTb"/>
            <w:noWrap w:val="false"/>
          </w:tcPr>
          <w:p>
            <w:pPr>
              <w:pStyle w:val="112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优惠价</w:t>
            </w:r>
            <w:r>
              <w:rPr>
                <w:rFonts w:hint="eastAsia" w:ascii="宋体" w:hAnsi="宋体" w:cs="宋体"/>
                <w:b/>
                <w:color w:val="000000"/>
                <w:sz w:val="24"/>
                <w:highlight w:val="none"/>
              </w:rPr>
            </w:r>
            <w:r/>
          </w:p>
        </w:tc>
      </w:tr>
      <w:tr>
        <w:trPr>
          <w:trHeight w:val="625"/>
        </w:trPr>
        <w:tc>
          <w:tcPr>
            <w:tcW w:w="900"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0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432"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23"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03"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677"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170"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57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9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33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88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590"/>
        </w:trPr>
        <w:tc>
          <w:tcPr>
            <w:tcW w:w="900"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0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432"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23"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03"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677"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170"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57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9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33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885" w:type="dxa"/>
            <w:vAlign w:val="top"/>
            <w:textDirection w:val="lrTb"/>
            <w:noWrap w:val="false"/>
          </w:tcPr>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r>
    </w:tbl>
    <w:p>
      <w:pPr>
        <w:pStyle w:val="11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26"/>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r>
      <w:r/>
    </w:p>
    <w:p>
      <w:pPr>
        <w:pStyle w:val="1126"/>
        <w:jc w:val="center"/>
        <w:spacing w:line="360" w:lineRule="auto"/>
        <w:rPr>
          <w:rFonts w:ascii="宋体" w:hAnsi="宋体"/>
          <w:b/>
          <w:color w:val="000000"/>
          <w:sz w:val="36"/>
          <w:szCs w:val="36"/>
          <w:highlight w:val="none"/>
        </w:rPr>
        <w:outlineLvl w:val="0"/>
      </w:pPr>
      <w:r>
        <w:rPr>
          <w:rFonts w:hint="eastAsia" w:ascii="宋体" w:hAnsi="宋体" w:cs="宋体"/>
          <w:b/>
          <w:color w:val="000000"/>
          <w:sz w:val="24"/>
          <w:highlight w:val="none"/>
        </w:rPr>
        <w:br w:type="page" w:clear="all"/>
      </w:r>
      <w:bookmarkStart w:id="821" w:name="_Toc16559"/>
      <w:r>
        <w:rPr>
          <w:rFonts w:ascii="宋体" w:hAnsi="宋体"/>
          <w:b/>
          <w:color w:val="000000"/>
          <w:sz w:val="36"/>
          <w:szCs w:val="36"/>
          <w:highlight w:val="none"/>
        </w:rPr>
        <w:t xml:space="preserve">第七章   投标文件格式</w:t>
      </w:r>
      <w:bookmarkEnd w:id="821"/>
      <w:r>
        <w:rPr>
          <w:rFonts w:ascii="宋体" w:hAnsi="宋体"/>
          <w:b/>
          <w:color w:val="000000"/>
          <w:sz w:val="36"/>
          <w:szCs w:val="36"/>
          <w:highlight w:val="none"/>
        </w:rPr>
      </w:r>
      <w:r/>
    </w:p>
    <w:p>
      <w:pPr>
        <w:pStyle w:val="112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12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126"/>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126"/>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126"/>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126"/>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1126"/>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26"/>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126"/>
        <w:rPr>
          <w:rFonts w:ascii="宋体" w:hAnsi="宋体"/>
          <w:b/>
          <w:color w:val="000000"/>
          <w:spacing w:val="20"/>
          <w:szCs w:val="21"/>
          <w:highlight w:val="none"/>
        </w:rPr>
      </w:pPr>
      <w:r>
        <w:rPr>
          <w:rFonts w:ascii="宋体" w:hAnsi="宋体"/>
          <w:b/>
          <w:color w:val="000000"/>
          <w:spacing w:val="20"/>
          <w:szCs w:val="21"/>
          <w:highlight w:val="none"/>
        </w:rPr>
      </w:r>
      <w:r/>
    </w:p>
    <w:p>
      <w:pPr>
        <w:pStyle w:val="1126"/>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126"/>
        <w:jc w:val="center"/>
        <w:rPr>
          <w:rFonts w:ascii="宋体" w:hAnsi="宋体"/>
          <w:color w:val="000000"/>
          <w:szCs w:val="21"/>
          <w:highlight w:val="none"/>
        </w:rPr>
      </w:pPr>
      <w:r>
        <w:rPr>
          <w:rFonts w:ascii="宋体" w:hAnsi="宋体"/>
          <w:color w:val="000000"/>
          <w:szCs w:val="21"/>
          <w:highlight w:val="none"/>
        </w:rPr>
      </w:r>
      <w:r/>
    </w:p>
    <w:p>
      <w:pPr>
        <w:pStyle w:val="1126"/>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12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12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12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12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12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6"/>
        <w:jc w:val="center"/>
        <w:rPr>
          <w:rFonts w:ascii="宋体" w:hAnsi="宋体"/>
          <w:b/>
          <w:color w:val="000000"/>
          <w:sz w:val="32"/>
          <w:szCs w:val="32"/>
          <w:highlight w:val="none"/>
        </w:rPr>
      </w:pPr>
      <w:r>
        <w:rPr>
          <w:rFonts w:ascii="宋体" w:hAnsi="宋体"/>
          <w:b/>
          <w:color w:val="000000"/>
          <w:sz w:val="32"/>
          <w:szCs w:val="32"/>
          <w:highlight w:val="none"/>
        </w:rPr>
      </w:r>
      <w:r/>
    </w:p>
    <w:p>
      <w:pPr>
        <w:pStyle w:val="1126"/>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126"/>
        <w:rPr>
          <w:rFonts w:ascii="宋体" w:hAnsi="宋体"/>
          <w:b/>
          <w:color w:val="000000"/>
          <w:highlight w:val="none"/>
        </w:rPr>
      </w:pPr>
      <w:r>
        <w:rPr>
          <w:rFonts w:ascii="宋体" w:hAnsi="宋体"/>
          <w:b/>
          <w:color w:val="000000"/>
          <w:highlight w:val="none"/>
        </w:rPr>
      </w:r>
      <w:r/>
    </w:p>
    <w:p>
      <w:pPr>
        <w:pStyle w:val="1126"/>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1129"/>
        <w:rPr>
          <w:rFonts w:hAnsi="宋体"/>
          <w:b w:val="0"/>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  </w:t>
      </w:r>
      <w:r>
        <w:rPr>
          <w:rFonts w:hAnsi="宋体"/>
          <w:b w:val="0"/>
          <w:color w:val="000000"/>
          <w:highlight w:val="none"/>
          <w:u w:val="none"/>
        </w:rPr>
        <w:t xml:space="preserve">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color w:val="000000"/>
          <w:highlight w:val="none"/>
          <w:u w:val="none"/>
        </w:rPr>
      </w:r>
      <w:r/>
    </w:p>
    <w:p>
      <w:pPr>
        <w:pStyle w:val="112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26"/>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投标人资格声明函</w:t>
      </w:r>
      <w:r>
        <w:rPr>
          <w:rFonts w:hint="eastAsia" w:ascii="宋体" w:hAnsi="宋体"/>
          <w:b/>
          <w:color w:val="000000"/>
          <w:sz w:val="32"/>
          <w:szCs w:val="32"/>
          <w:highlight w:val="none"/>
        </w:rPr>
      </w:r>
      <w:r/>
    </w:p>
    <w:p>
      <w:pPr>
        <w:pStyle w:val="1148"/>
        <w:ind w:firstLine="480"/>
        <w:spacing w:line="460" w:lineRule="exact"/>
        <w:rPr>
          <w:rFonts w:hAnsi="宋体"/>
          <w:color w:val="000000"/>
          <w:highlight w:val="none"/>
        </w:rPr>
      </w:pP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114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48"/>
        <w:ind w:firstLine="480"/>
        <w:spacing w:line="460" w:lineRule="exact"/>
        <w:rPr>
          <w:rFonts w:hAnsi="宋体"/>
          <w:color w:val="000000"/>
          <w:highlight w:val="none"/>
        </w:rPr>
      </w:pP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4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4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4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48"/>
        <w:ind w:firstLine="480"/>
        <w:spacing w:line="460" w:lineRule="exact"/>
        <w:rPr>
          <w:rFonts w:hAnsi="宋体"/>
          <w:color w:val="000000"/>
          <w:highlight w:val="none"/>
        </w:rPr>
      </w:pP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48"/>
        <w:ind w:firstLine="480"/>
        <w:spacing w:line="460" w:lineRule="exact"/>
        <w:rPr>
          <w:rFonts w:hAnsi="宋体"/>
          <w:color w:val="000000"/>
          <w:highlight w:val="none"/>
        </w:rPr>
      </w:pPr>
      <w:r>
        <w:rPr>
          <w:rFonts w:hAnsi="宋体"/>
          <w:color w:val="000000"/>
          <w:highlight w:val="none"/>
        </w:rPr>
      </w:r>
      <w:r/>
    </w:p>
    <w:p>
      <w:pPr>
        <w:pStyle w:val="1148"/>
        <w:ind w:firstLine="480"/>
        <w:spacing w:line="460" w:lineRule="exact"/>
        <w:rPr>
          <w:rFonts w:hAnsi="宋体"/>
          <w:color w:val="000000"/>
          <w:highlight w:val="none"/>
        </w:rPr>
      </w:pP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148"/>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148"/>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12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2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2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26"/>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126"/>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46" w:bottom="1418" w:left="1301" w:header="851" w:footer="851" w:gutter="0"/>
          <w:cols w:num="1" w:sep="0" w:space="1701" w:equalWidth="1"/>
          <w:docGrid w:linePitch="360"/>
        </w:sectPr>
      </w:pPr>
      <w:r>
        <w:rPr>
          <w:rFonts w:ascii="宋体" w:hAnsi="宋体"/>
          <w:color w:val="000000"/>
          <w:sz w:val="24"/>
          <w:highlight w:val="none"/>
        </w:rPr>
      </w:r>
      <w:r/>
    </w:p>
    <w:p>
      <w:pPr>
        <w:pStyle w:val="1126"/>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落实政府采购政策需满足的资格要求</w:t>
      </w:r>
      <w:r>
        <w:rPr>
          <w:rFonts w:hint="eastAsia" w:ascii="宋体" w:hAnsi="宋体"/>
          <w:color w:val="000000"/>
          <w:sz w:val="24"/>
          <w:szCs w:val="20"/>
          <w:highlight w:val="none"/>
        </w:rPr>
        <w:t xml:space="preserve">： </w:t>
      </w:r>
      <w:r>
        <w:rPr>
          <w:rFonts w:ascii="宋体" w:hAnsi="宋体"/>
          <w:color w:val="000000"/>
          <w:sz w:val="24"/>
          <w:szCs w:val="20"/>
          <w:highlight w:val="none"/>
        </w:rPr>
      </w:r>
      <w:r/>
    </w:p>
    <w:p>
      <w:pPr>
        <w:pStyle w:val="1126"/>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2-3</w:t>
      </w:r>
      <w:r>
        <w:rPr>
          <w:rFonts w:hint="eastAsia" w:ascii="宋体" w:hAnsi="宋体"/>
          <w:color w:val="000000"/>
          <w:sz w:val="24"/>
          <w:szCs w:val="20"/>
          <w:highlight w:val="none"/>
        </w:rPr>
        <w:t xml:space="preserve">  </w:t>
      </w:r>
      <w:r>
        <w:rPr>
          <w:rFonts w:ascii="宋体" w:hAnsi="宋体"/>
          <w:color w:val="000000"/>
          <w:sz w:val="24"/>
          <w:highlight w:val="none"/>
        </w:rPr>
        <w:t xml:space="preserve">其它落实政府采购政策的资格要求：</w:t>
      </w:r>
      <w:r>
        <w:rPr>
          <w:rFonts w:hint="eastAsia" w:ascii="宋体" w:hAnsi="宋体"/>
          <w:color w:val="000000"/>
          <w:sz w:val="24"/>
          <w:highlight w:val="none"/>
        </w:rPr>
        <w:t xml:space="preserve">/</w:t>
      </w:r>
      <w:r>
        <w:rPr>
          <w:rFonts w:ascii="宋体" w:hAnsi="宋体"/>
          <w:color w:val="000000"/>
          <w:sz w:val="24"/>
          <w:szCs w:val="20"/>
          <w:highlight w:val="none"/>
        </w:rPr>
      </w:r>
      <w:r/>
    </w:p>
    <w:p>
      <w:pPr>
        <w:pStyle w:val="1126"/>
        <w:jc w:val="left"/>
        <w:widowControl/>
        <w:rPr>
          <w:rFonts w:ascii="宋体" w:hAnsi="宋体"/>
          <w:color w:val="000000"/>
          <w:sz w:val="24"/>
          <w:highlight w:val="none"/>
        </w:rPr>
      </w:pPr>
      <w:r>
        <w:rPr>
          <w:rFonts w:ascii="宋体" w:hAnsi="宋体"/>
          <w:color w:val="000000"/>
          <w:sz w:val="24"/>
          <w:highlight w:val="none"/>
        </w:rPr>
      </w:r>
      <w:r/>
    </w:p>
    <w:p>
      <w:pPr>
        <w:pStyle w:val="1126"/>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本项目的特定资格要求</w:t>
      </w:r>
      <w:r>
        <w:rPr>
          <w:rFonts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3  </w:t>
      </w:r>
      <w:r>
        <w:rPr>
          <w:rFonts w:ascii="宋体" w:hAnsi="宋体"/>
          <w:color w:val="000000"/>
          <w:sz w:val="24"/>
          <w:szCs w:val="20"/>
          <w:highlight w:val="none"/>
        </w:rPr>
        <w:t xml:space="preserve">其他特定资格要求</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1126"/>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3.3</w:t>
      </w:r>
      <w:r>
        <w:rPr>
          <w:rFonts w:hint="eastAsia" w:ascii="宋体" w:hAnsi="宋体"/>
          <w:color w:val="000000"/>
          <w:sz w:val="24"/>
          <w:highlight w:val="none"/>
        </w:rPr>
        <w:t xml:space="preserve">.1满足以下两项中任意一项要求：</w:t>
      </w:r>
      <w:r>
        <w:rPr>
          <w:rFonts w:hint="eastAsia" w:ascii="宋体" w:hAnsi="宋体"/>
          <w:color w:val="000000"/>
          <w:sz w:val="24"/>
          <w:highlight w:val="none"/>
        </w:rPr>
      </w:r>
      <w:r/>
    </w:p>
    <w:p>
      <w:pPr>
        <w:pStyle w:val="11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（1）投标人为所投产品制造商：具有有效期内的医疗器械生产许可证（或备案证）；</w:t>
      </w:r>
      <w:r>
        <w:rPr>
          <w:rFonts w:hint="eastAsia" w:ascii="宋体" w:hAnsi="宋体"/>
          <w:color w:val="000000"/>
          <w:sz w:val="24"/>
          <w:highlight w:val="none"/>
        </w:rPr>
      </w:r>
      <w:r/>
    </w:p>
    <w:p>
      <w:pPr>
        <w:pStyle w:val="11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（2）投标人为所投产品经销商：具有有效期内的医疗器械经营许可证（或备案证）；</w:t>
      </w:r>
      <w:r>
        <w:rPr>
          <w:rFonts w:hint="eastAsia" w:ascii="宋体" w:hAnsi="宋体"/>
          <w:color w:val="000000"/>
          <w:sz w:val="24"/>
          <w:highlight w:val="none"/>
        </w:rPr>
      </w:r>
      <w:r/>
    </w:p>
    <w:p>
      <w:pPr>
        <w:pStyle w:val="1126"/>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3.3</w:t>
      </w:r>
      <w:r>
        <w:rPr>
          <w:rFonts w:hint="eastAsia" w:ascii="宋体" w:hAnsi="宋体"/>
          <w:color w:val="000000"/>
          <w:sz w:val="24"/>
          <w:highlight w:val="none"/>
        </w:rPr>
        <w:t xml:space="preserve">.2 投标人提供所投产品的有效医疗器械注册证（或备案证）。</w:t>
      </w:r>
      <w:r>
        <w:rPr>
          <w:rFonts w:hint="eastAsia" w:ascii="宋体" w:hAnsi="宋体"/>
          <w:color w:val="000000"/>
          <w:sz w:val="24"/>
          <w:highlight w:val="none"/>
        </w:rPr>
      </w:r>
      <w:r/>
    </w:p>
    <w:p>
      <w:pPr>
        <w:pStyle w:val="11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3.3.3本项目接受进口产品，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color w:val="000000"/>
          <w:sz w:val="24"/>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jc w:val="center"/>
        <w:widowControl/>
        <w:rPr>
          <w:rFonts w:hint="eastAsia" w:ascii="宋体" w:hAnsi="宋体"/>
          <w:b/>
          <w:color w:val="000000"/>
          <w:sz w:val="32"/>
          <w:szCs w:val="32"/>
          <w:highlight w:val="none"/>
        </w:rPr>
      </w:pPr>
      <w:r>
        <w:rPr>
          <w:rFonts w:ascii="宋体" w:hAnsi="宋体"/>
          <w:color w:val="000000"/>
          <w:sz w:val="24"/>
          <w:szCs w:val="20"/>
          <w:highlight w:val="none"/>
        </w:rPr>
        <w:br w:type="page" w:clear="all"/>
      </w:r>
      <w:r>
        <w:rPr>
          <w:rFonts w:ascii="宋体" w:hAnsi="宋体"/>
          <w:b/>
          <w:color w:val="000000"/>
          <w:sz w:val="32"/>
          <w:szCs w:val="32"/>
          <w:highlight w:val="none"/>
        </w:rPr>
        <w:t xml:space="preserve">二、商务技术文件格式</w:t>
      </w:r>
      <w:bookmarkStart w:id="822" w:name="_Toc195842921"/>
      <w:r/>
      <w:bookmarkStart w:id="823" w:name="_Toc150774761"/>
      <w:r/>
      <w:bookmarkStart w:id="824" w:name="_Toc226965746"/>
      <w:r/>
      <w:bookmarkStart w:id="825" w:name="_Toc226965829"/>
      <w:r/>
      <w:bookmarkStart w:id="826" w:name="_Toc127151556"/>
      <w:r/>
      <w:bookmarkStart w:id="827" w:name="_Toc142311058"/>
      <w:r/>
      <w:bookmarkStart w:id="828" w:name="_Toc520356217"/>
      <w:r/>
      <w:bookmarkStart w:id="829" w:name="_Toc226309800"/>
      <w:r/>
      <w:bookmarkStart w:id="830" w:name="_Toc480942349"/>
      <w:r/>
      <w:bookmarkStart w:id="831" w:name="_Ref467988698"/>
      <w:r/>
      <w:bookmarkStart w:id="832" w:name="_Toc226337252"/>
      <w:r/>
      <w:bookmarkStart w:id="833" w:name="_Toc150480794"/>
      <w:r>
        <w:rPr>
          <w:rFonts w:hint="eastAsia" w:ascii="宋体" w:hAnsi="宋体"/>
          <w:b/>
          <w:color w:val="000000"/>
          <w:sz w:val="32"/>
          <w:szCs w:val="32"/>
          <w:highlight w:val="none"/>
        </w:rPr>
      </w:r>
      <w:r/>
    </w:p>
    <w:p>
      <w:pPr>
        <w:pStyle w:val="112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6"/>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  </w:t>
      </w:r>
      <w:r>
        <w:rPr>
          <w:rFonts w:ascii="宋体" w:hAnsi="宋体"/>
          <w:color w:val="000000"/>
          <w:sz w:val="24"/>
          <w:highlight w:val="none"/>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126"/>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投标函</w:t>
      </w:r>
      <w:r>
        <w:rPr>
          <w:rFonts w:hint="eastAsia" w:ascii="宋体" w:hAnsi="宋体"/>
          <w:b/>
          <w:color w:val="000000"/>
          <w:sz w:val="32"/>
          <w:szCs w:val="32"/>
          <w:highlight w:val="none"/>
        </w:rPr>
      </w:r>
      <w:r/>
    </w:p>
    <w:p>
      <w:pPr>
        <w:pStyle w:val="1126"/>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12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12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12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126"/>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126"/>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126"/>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1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1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1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1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126"/>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126"/>
        <w:jc w:val="left"/>
        <w:widowControl/>
        <w:rPr>
          <w:rFonts w:hint="eastAsia" w:ascii="宋体" w:hAnsi="宋体"/>
          <w:color w:val="000000"/>
          <w:sz w:val="24"/>
          <w:highlight w:val="none"/>
        </w:rPr>
      </w:pPr>
      <w:r/>
      <w:bookmarkStart w:id="834" w:name="_Hlt520356243"/>
      <w:r/>
      <w:bookmarkEnd w:id="834"/>
      <w:r/>
      <w:bookmarkStart w:id="835" w:name="_Hlt520355938"/>
      <w:r/>
      <w:bookmarkEnd w:id="835"/>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112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6"/>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hint="eastAsia" w:ascii="宋体" w:hAnsi="宋体"/>
          <w:b/>
          <w:color w:val="000000"/>
          <w:sz w:val="32"/>
          <w:szCs w:val="32"/>
          <w:highlight w:val="none"/>
        </w:rPr>
      </w:r>
      <w:r/>
    </w:p>
    <w:p>
      <w:pPr>
        <w:pStyle w:val="112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2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2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2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12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26"/>
        <w:spacing w:line="560" w:lineRule="exact"/>
        <w:rPr>
          <w:rFonts w:ascii="宋体" w:hAnsi="宋体"/>
          <w:color w:val="000000"/>
          <w:sz w:val="24"/>
          <w:highlight w:val="none"/>
        </w:rPr>
      </w:pPr>
      <w:r>
        <w:rPr>
          <w:rFonts w:ascii="宋体" w:hAnsi="宋体"/>
          <w:color w:val="000000"/>
          <w:sz w:val="24"/>
          <w:highlight w:val="none"/>
        </w:rPr>
      </w:r>
      <w:r/>
    </w:p>
    <w:p>
      <w:pPr>
        <w:pStyle w:val="115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26"/>
        <w:spacing w:line="56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12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投标人：（加盖公章）</w:t>
      </w:r>
      <w:r>
        <w:rPr>
          <w:rFonts w:ascii="宋体" w:hAnsi="宋体"/>
          <w:color w:val="000000"/>
          <w:sz w:val="24"/>
          <w:highlight w:val="none"/>
        </w:rPr>
      </w:r>
      <w:r/>
    </w:p>
    <w:p>
      <w:pPr>
        <w:pStyle w:val="112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2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26"/>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1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6"/>
        <w:jc w:val="left"/>
        <w:widowControl/>
        <w:rPr>
          <w:rFonts w:hint="eastAsia" w:ascii="宋体" w:hAnsi="宋体"/>
          <w:color w:val="000000"/>
          <w:sz w:val="24"/>
          <w:highlight w:val="none"/>
        </w:rPr>
      </w:pPr>
      <w:r>
        <w:rPr>
          <w:rFonts w:hint="eastAsia" w:ascii="宋体" w:hAnsi="宋体"/>
          <w:color w:val="000000"/>
          <w:sz w:val="24"/>
          <w:highlight w:val="none"/>
        </w:rPr>
        <w:br w:type="page" w:clear="all"/>
      </w:r>
      <w:r>
        <w:rPr>
          <w:rFonts w:hint="eastAsia" w:ascii="宋体" w:hAnsi="宋体"/>
          <w:color w:val="000000"/>
          <w:sz w:val="24"/>
          <w:highlight w:val="none"/>
        </w:rPr>
        <w:t xml:space="preserve">3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1126"/>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hint="eastAsia" w:ascii="宋体" w:hAnsi="宋体"/>
          <w:b/>
          <w:color w:val="000000"/>
          <w:sz w:val="32"/>
          <w:szCs w:val="32"/>
          <w:highlight w:val="none"/>
        </w:rPr>
      </w:r>
      <w:r/>
    </w:p>
    <w:p>
      <w:pPr>
        <w:pStyle w:val="1126"/>
        <w:ind w:firstLine="640"/>
        <w:rPr>
          <w:rFonts w:ascii="宋体" w:hAnsi="宋体"/>
          <w:color w:val="000000"/>
          <w:highlight w:val="none"/>
        </w:rPr>
      </w:pPr>
      <w:r>
        <w:rPr>
          <w:rFonts w:ascii="宋体" w:hAnsi="宋体"/>
          <w:color w:val="000000"/>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1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26"/>
        <w:ind w:left="420"/>
        <w:spacing w:line="360" w:lineRule="auto"/>
        <w:tabs>
          <w:tab w:val="left" w:pos="5580" w:leader="none"/>
        </w:tabs>
        <w:rPr>
          <w:rFonts w:ascii="宋体" w:hAnsi="宋体"/>
          <w:color w:val="000000"/>
          <w:sz w:val="24"/>
          <w:szCs w:val="20"/>
          <w:highlight w:val="none"/>
        </w:rPr>
      </w:pPr>
      <w:r/>
      <w:bookmarkStart w:id="836" w:name="_Hlt520274121"/>
      <w:r/>
      <w:bookmarkEnd w:id="836"/>
      <w:r/>
      <w:bookmarkStart w:id="837" w:name="_Hlt520343392"/>
      <w:r/>
      <w:bookmarkEnd w:id="837"/>
      <w:r/>
      <w:bookmarkStart w:id="838" w:name="_Hlt520343000"/>
      <w:r/>
      <w:bookmarkEnd w:id="838"/>
      <w:r/>
      <w:bookmarkStart w:id="839" w:name="_Hlt520355504"/>
      <w:r/>
      <w:bookmarkEnd w:id="839"/>
      <w:r/>
      <w:bookmarkStart w:id="840" w:name="_Hlt520350918"/>
      <w:r/>
      <w:bookmarkEnd w:id="840"/>
      <w:r/>
      <w:bookmarkStart w:id="841" w:name="_Hlt520274407"/>
      <w:r/>
      <w:bookmarkEnd w:id="841"/>
      <w:r/>
      <w:bookmarkStart w:id="842" w:name="_Hlt520274393"/>
      <w:r/>
      <w:bookmarkEnd w:id="842"/>
      <w:r/>
      <w:bookmarkStart w:id="843" w:name="_Hlt520274065"/>
      <w:r/>
      <w:bookmarkEnd w:id="843"/>
      <w:r/>
      <w:bookmarkStart w:id="844" w:name="_Hlt520271212"/>
      <w:r/>
      <w:bookmarkEnd w:id="844"/>
      <w:r/>
      <w:bookmarkStart w:id="845" w:name="_Hlt520273711"/>
      <w:r/>
      <w:bookmarkEnd w:id="845"/>
      <w:r/>
      <w:bookmarkStart w:id="846" w:name="_Ref467988705"/>
      <w:r/>
      <w:bookmarkStart w:id="847" w:name="_Toc480942350"/>
      <w:r/>
      <w:bookmarkStart w:id="848" w:name="_Toc264969247"/>
      <w:r/>
      <w:bookmarkStart w:id="849" w:name="_Toc226309801"/>
      <w:r/>
      <w:bookmarkStart w:id="850" w:name="_Toc150774762"/>
      <w:r/>
      <w:bookmarkStart w:id="851" w:name="_Toc150480795"/>
      <w:r/>
      <w:bookmarkStart w:id="852" w:name="_Toc142311059"/>
      <w:r/>
      <w:bookmarkStart w:id="853" w:name="_Toc265228395"/>
      <w:r/>
      <w:bookmarkStart w:id="854" w:name="_Toc226965830"/>
      <w:r/>
      <w:bookmarkStart w:id="855" w:name="_Toc520356218"/>
      <w:r/>
      <w:bookmarkStart w:id="856" w:name="_Toc305158899"/>
      <w:r/>
      <w:bookmarkStart w:id="857" w:name="_Toc127151557"/>
      <w:r/>
      <w:bookmarkStart w:id="858" w:name="_Toc226337253"/>
      <w:r/>
      <w:bookmarkStart w:id="859" w:name="_Toc195842922"/>
      <w:r/>
      <w:bookmarkStart w:id="860" w:name="_Toc305158825"/>
      <w:r/>
      <w:bookmarkStart w:id="861" w:name="_Toc226965747"/>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126"/>
        <w:jc w:val="left"/>
        <w:widowControl/>
        <w:rPr>
          <w:rFonts w:hint="eastAsia" w:ascii="宋体" w:hAnsi="宋体"/>
          <w:color w:val="000000"/>
          <w:sz w:val="24"/>
          <w:highlight w:val="none"/>
        </w:rPr>
      </w:pPr>
      <w:r>
        <w:rPr>
          <w:rFonts w:hint="eastAsia" w:ascii="宋体" w:hAnsi="宋体"/>
          <w:color w:val="000000"/>
          <w:sz w:val="24"/>
          <w:szCs w:val="20"/>
          <w:highlight w:val="none"/>
        </w:rPr>
        <w:br w:type="page" w:clear="all"/>
      </w:r>
      <w:r>
        <w:rPr>
          <w:rFonts w:hint="eastAsia" w:ascii="宋体" w:hAnsi="宋体"/>
          <w:color w:val="000000"/>
          <w:sz w:val="24"/>
          <w:highlight w:val="none"/>
        </w:rPr>
        <w:t xml:space="preserve">4 供应商管理关系或控股关系信息情况表（实质性格式）</w:t>
      </w:r>
      <w:r>
        <w:rPr>
          <w:rFonts w:hint="eastAsia" w:ascii="宋体" w:hAnsi="宋体"/>
          <w:color w:val="000000"/>
          <w:sz w:val="24"/>
          <w:highlight w:val="none"/>
        </w:rPr>
      </w:r>
      <w:r/>
    </w:p>
    <w:p>
      <w:pPr>
        <w:pStyle w:val="1126"/>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供应商管理关系或控股关系信息情况表</w:t>
      </w:r>
      <w:r>
        <w:rPr>
          <w:rFonts w:hint="eastAsia" w:ascii="宋体" w:hAnsi="宋体"/>
          <w:b/>
          <w:color w:val="000000"/>
          <w:sz w:val="32"/>
          <w:szCs w:val="32"/>
          <w:highlight w:val="none"/>
        </w:rPr>
      </w:r>
      <w:r/>
    </w:p>
    <w:p>
      <w:pPr>
        <w:pStyle w:val="1126"/>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投标人名称：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126"/>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1126"/>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12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1126"/>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126"/>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1126"/>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12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1126"/>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12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1126"/>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1126"/>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11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1126"/>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1126"/>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126"/>
              <w:numPr>
                <w:ilvl w:val="0"/>
                <w:numId w:val="16"/>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rPr>
            </w:r>
            <w:r/>
          </w:p>
          <w:p>
            <w:pPr>
              <w:pStyle w:val="1126"/>
              <w:numPr>
                <w:ilvl w:val="0"/>
                <w:numId w:val="16"/>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1126"/>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1126"/>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1126"/>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1126"/>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法定代表人（签字名盖章）：</w:t>
            </w:r>
            <w:r>
              <w:rPr>
                <w:rFonts w:ascii="宋体" w:hAnsi="宋体" w:cs="宋体"/>
                <w:color w:val="000000"/>
                <w:sz w:val="24"/>
                <w:highlight w:val="none"/>
              </w:rPr>
            </w:r>
            <w:r/>
          </w:p>
          <w:p>
            <w:pPr>
              <w:pStyle w:val="1126"/>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1126"/>
        <w:jc w:val="left"/>
        <w:widowControl/>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ascii="宋体" w:hAnsi="宋体"/>
          <w:color w:val="000000"/>
          <w:sz w:val="24"/>
          <w:szCs w:val="20"/>
          <w:highlight w:val="none"/>
        </w:rPr>
      </w:r>
      <w:r/>
    </w:p>
    <w:p>
      <w:pPr>
        <w:pStyle w:val="1126"/>
        <w:jc w:val="center"/>
        <w:spacing w:line="560" w:lineRule="exact"/>
        <w:rPr>
          <w:rFonts w:hint="eastAsia" w:ascii="宋体" w:hAnsi="宋体"/>
          <w:b/>
          <w:color w:val="000000"/>
          <w:sz w:val="32"/>
          <w:szCs w:val="32"/>
          <w:highlight w:val="none"/>
        </w:rPr>
      </w:pPr>
      <w:r/>
      <w:bookmarkStart w:id="862" w:name="_Toc264969248"/>
      <w:r/>
      <w:bookmarkStart w:id="863" w:name="_Toc265228396"/>
      <w:r/>
      <w:bookmarkStart w:id="864" w:name="_Toc305158826"/>
      <w:r/>
      <w:bookmarkStart w:id="865" w:name="_Toc226309802"/>
      <w:r/>
      <w:bookmarkStart w:id="866" w:name="_Toc226337254"/>
      <w:r/>
      <w:bookmarkStart w:id="867" w:name="_Toc164608672"/>
      <w:r/>
      <w:bookmarkStart w:id="868" w:name="_Toc164608827"/>
      <w:r/>
      <w:bookmarkStart w:id="869" w:name="_Toc226965831"/>
      <w:r/>
      <w:bookmarkStart w:id="870" w:name="_Toc226965748"/>
      <w:r/>
      <w:bookmarkStart w:id="871" w:name="_Toc195842923"/>
      <w:r/>
      <w:bookmarkStart w:id="872" w:name="_Toc305158900"/>
      <w:r>
        <w:rPr>
          <w:rFonts w:hint="eastAsia" w:ascii="宋体" w:hAnsi="宋体"/>
          <w:b/>
          <w:color w:val="000000"/>
          <w:sz w:val="32"/>
          <w:szCs w:val="32"/>
          <w:highlight w:val="none"/>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rFonts w:hint="eastAsia" w:ascii="宋体" w:hAnsi="宋体"/>
          <w:b/>
          <w:color w:val="000000"/>
          <w:sz w:val="32"/>
          <w:szCs w:val="32"/>
          <w:highlight w:val="none"/>
        </w:rPr>
      </w:r>
      <w:r/>
    </w:p>
    <w:p>
      <w:pPr>
        <w:pStyle w:val="1126"/>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126"/>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项目名称：_____________________</w:t>
      </w:r>
      <w:r>
        <w:rPr>
          <w:rFonts w:ascii="宋体" w:hAnsi="宋体"/>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09" w:type="dxa"/>
            <w:vAlign w:val="center"/>
            <w:vMerge w:val="restart"/>
            <w:textDirection w:val="lrTb"/>
            <w:noWrap w:val="false"/>
          </w:tcPr>
          <w:p>
            <w:pPr>
              <w:pStyle w:val="1126"/>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3200" w:type="dxa"/>
            <w:vAlign w:val="center"/>
            <w:vMerge w:val="restart"/>
            <w:textDirection w:val="lrTb"/>
            <w:noWrap w:val="false"/>
          </w:tcPr>
          <w:p>
            <w:pPr>
              <w:pStyle w:val="1126"/>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158" w:type="dxa"/>
            <w:vAlign w:val="center"/>
            <w:textDirection w:val="lrTb"/>
            <w:noWrap w:val="false"/>
          </w:tcPr>
          <w:p>
            <w:pPr>
              <w:pStyle w:val="1126"/>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09" w:type="dxa"/>
            <w:vAlign w:val="center"/>
            <w:vMerge w:val="continue"/>
            <w:textDirection w:val="lrTb"/>
            <w:noWrap w:val="false"/>
          </w:tcPr>
          <w:p>
            <w:pPr>
              <w:pStyle w:val="1126"/>
              <w:jc w:val="left"/>
              <w:widowControl/>
              <w:rPr>
                <w:b/>
                <w:color w:val="000000"/>
                <w:sz w:val="24"/>
                <w:highlight w:val="none"/>
              </w:rPr>
            </w:pPr>
            <w:r>
              <w:rPr>
                <w:b/>
                <w:color w:val="000000"/>
                <w:sz w:val="24"/>
                <w:highlight w:val="none"/>
              </w:rPr>
            </w:r>
            <w:r/>
          </w:p>
        </w:tc>
        <w:tc>
          <w:tcPr>
            <w:tcW w:w="3200" w:type="dxa"/>
            <w:vAlign w:val="center"/>
            <w:vMerge w:val="continue"/>
            <w:textDirection w:val="lrTb"/>
            <w:noWrap w:val="false"/>
          </w:tcPr>
          <w:p>
            <w:pPr>
              <w:pStyle w:val="1126"/>
              <w:jc w:val="left"/>
              <w:widowControl/>
              <w:rPr>
                <w:b/>
                <w:color w:val="000000"/>
                <w:sz w:val="24"/>
                <w:highlight w:val="none"/>
              </w:rPr>
            </w:pPr>
            <w:r>
              <w:rPr>
                <w:b/>
                <w:color w:val="000000"/>
                <w:sz w:val="24"/>
                <w:highlight w:val="none"/>
              </w:rPr>
            </w:r>
            <w:r/>
          </w:p>
        </w:tc>
        <w:tc>
          <w:tcPr>
            <w:tcW w:w="2023" w:type="dxa"/>
            <w:vAlign w:val="center"/>
            <w:textDirection w:val="lrTb"/>
            <w:noWrap w:val="false"/>
          </w:tcPr>
          <w:p>
            <w:pPr>
              <w:pStyle w:val="1126"/>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2129" w:type="dxa"/>
            <w:vAlign w:val="center"/>
            <w:textDirection w:val="lrTb"/>
            <w:noWrap w:val="false"/>
          </w:tcPr>
          <w:p>
            <w:pPr>
              <w:pStyle w:val="1126"/>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809" w:type="dxa"/>
            <w:vAlign w:val="center"/>
            <w:textDirection w:val="lrTb"/>
            <w:noWrap w:val="false"/>
          </w:tcPr>
          <w:p>
            <w:pPr>
              <w:pStyle w:val="1126"/>
              <w:jc w:val="center"/>
              <w:tabs>
                <w:tab w:val="left" w:pos="5580" w:leader="none"/>
              </w:tabs>
              <w:rPr>
                <w:color w:val="000000"/>
                <w:sz w:val="24"/>
                <w:highlight w:val="none"/>
              </w:rPr>
            </w:pPr>
            <w:r>
              <w:rPr>
                <w:color w:val="000000"/>
                <w:sz w:val="24"/>
                <w:highlight w:val="none"/>
              </w:rPr>
            </w:r>
            <w:r/>
          </w:p>
        </w:tc>
        <w:tc>
          <w:tcPr>
            <w:tcW w:w="3200" w:type="dxa"/>
            <w:vAlign w:val="center"/>
            <w:textDirection w:val="lrTb"/>
            <w:noWrap w:val="false"/>
          </w:tcPr>
          <w:p>
            <w:pPr>
              <w:pStyle w:val="1126"/>
              <w:jc w:val="center"/>
              <w:tabs>
                <w:tab w:val="left" w:pos="5580" w:leader="none"/>
              </w:tabs>
              <w:rPr>
                <w:color w:val="000000"/>
                <w:sz w:val="24"/>
                <w:highlight w:val="none"/>
              </w:rPr>
            </w:pPr>
            <w:r>
              <w:rPr>
                <w:color w:val="000000"/>
                <w:sz w:val="24"/>
                <w:highlight w:val="none"/>
              </w:rPr>
            </w:r>
            <w:r/>
          </w:p>
        </w:tc>
        <w:tc>
          <w:tcPr>
            <w:tcW w:w="2023" w:type="dxa"/>
            <w:vAlign w:val="center"/>
            <w:textDirection w:val="lrTb"/>
            <w:noWrap w:val="false"/>
          </w:tcPr>
          <w:p>
            <w:pPr>
              <w:pStyle w:val="1126"/>
              <w:jc w:val="center"/>
              <w:tabs>
                <w:tab w:val="left" w:pos="5580" w:leader="none"/>
              </w:tabs>
              <w:rPr>
                <w:color w:val="000000"/>
                <w:sz w:val="24"/>
                <w:highlight w:val="none"/>
              </w:rPr>
            </w:pPr>
            <w:r>
              <w:rPr>
                <w:color w:val="000000"/>
                <w:sz w:val="24"/>
                <w:highlight w:val="none"/>
              </w:rPr>
            </w:r>
            <w:r/>
          </w:p>
        </w:tc>
        <w:tc>
          <w:tcPr>
            <w:tcW w:w="2129" w:type="dxa"/>
            <w:vAlign w:val="center"/>
            <w:textDirection w:val="lrTb"/>
            <w:noWrap w:val="false"/>
          </w:tcPr>
          <w:p>
            <w:pPr>
              <w:pStyle w:val="1126"/>
              <w:jc w:val="center"/>
              <w:tabs>
                <w:tab w:val="left" w:pos="5580" w:leader="none"/>
              </w:tabs>
              <w:rPr>
                <w:color w:val="000000"/>
                <w:sz w:val="24"/>
                <w:highlight w:val="none"/>
              </w:rPr>
            </w:pPr>
            <w:r>
              <w:rPr>
                <w:color w:val="000000"/>
                <w:sz w:val="24"/>
                <w:highlight w:val="none"/>
              </w:rPr>
            </w:r>
            <w:r/>
          </w:p>
        </w:tc>
      </w:tr>
    </w:tbl>
    <w:p>
      <w:pPr>
        <w:pStyle w:val="1126"/>
        <w:jc w:val="left"/>
        <w:rPr>
          <w:rFonts w:ascii="宋体" w:hAnsi="宋体"/>
          <w:color w:val="000000"/>
          <w:sz w:val="24"/>
          <w:highlight w:val="none"/>
        </w:rPr>
      </w:pPr>
      <w:r>
        <w:rPr>
          <w:rFonts w:ascii="宋体" w:hAnsi="宋体"/>
          <w:color w:val="000000"/>
          <w:sz w:val="24"/>
          <w:highlight w:val="none"/>
        </w:rPr>
      </w:r>
      <w:r/>
    </w:p>
    <w:p>
      <w:pPr>
        <w:pStyle w:val="1126"/>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126"/>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126"/>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12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6"/>
        <w:spacing w:line="360" w:lineRule="auto"/>
        <w:tabs>
          <w:tab w:val="left" w:pos="5580" w:leader="none"/>
        </w:tabs>
        <w:rPr>
          <w:rFonts w:ascii="宋体" w:hAnsi="宋体"/>
          <w:color w:val="000000"/>
          <w:sz w:val="24"/>
          <w:szCs w:val="20"/>
          <w:highlight w:val="none"/>
        </w:rPr>
      </w:pPr>
      <w:r/>
      <w:bookmarkStart w:id="873" w:name="_Toc264969249"/>
      <w:r/>
      <w:bookmarkStart w:id="874" w:name="_Toc226337255"/>
      <w:r/>
      <w:bookmarkStart w:id="875" w:name="_Toc150774763"/>
      <w:r/>
      <w:bookmarkStart w:id="876" w:name="_Toc305158901"/>
      <w:r/>
      <w:bookmarkStart w:id="877" w:name="_Toc265228397"/>
      <w:r/>
      <w:bookmarkStart w:id="878" w:name="_Toc195842924"/>
      <w:r/>
      <w:bookmarkStart w:id="879" w:name="_Toc305158827"/>
      <w:r/>
      <w:bookmarkStart w:id="880" w:name="_Toc226965749"/>
      <w:r/>
      <w:bookmarkStart w:id="881" w:name="_Toc150480796"/>
      <w:r/>
      <w:bookmarkStart w:id="882" w:name="_Toc142311060"/>
      <w:r/>
      <w:bookmarkStart w:id="883" w:name="_Toc226309803"/>
      <w:r/>
      <w:bookmarkStart w:id="884" w:name="_Toc127151558"/>
      <w:r/>
      <w:bookmarkStart w:id="885" w:name="_Toc226965832"/>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126"/>
        <w:jc w:val="left"/>
        <w:spacing w:line="312" w:lineRule="auto"/>
        <w:rPr>
          <w:rFonts w:hint="eastAsia" w:ascii="宋体" w:hAnsi="宋体" w:cs="宋体"/>
          <w:bCs/>
          <w:color w:val="000000"/>
          <w:sz w:val="24"/>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  </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Start w:id="886" w:name="_Toc226309805"/>
      <w:r/>
      <w:bookmarkStart w:id="887" w:name="_Toc150774764"/>
      <w:r/>
      <w:bookmarkStart w:id="888" w:name="_Toc142311061"/>
      <w:r/>
      <w:bookmarkStart w:id="889" w:name="_Toc226965834"/>
      <w:r/>
      <w:bookmarkStart w:id="890" w:name="_Toc264969252"/>
      <w:r/>
      <w:bookmarkStart w:id="891" w:name="_Toc150774765"/>
      <w:r/>
      <w:bookmarkStart w:id="892" w:name="_Toc150480798"/>
      <w:r/>
      <w:bookmarkStart w:id="893" w:name="_Toc142311062"/>
      <w:r/>
      <w:bookmarkStart w:id="894" w:name="_Toc226309806"/>
      <w:r/>
      <w:bookmarkStart w:id="895" w:name="_Toc305158904"/>
      <w:r/>
      <w:bookmarkStart w:id="896" w:name="_Toc265228400"/>
      <w:r/>
      <w:bookmarkStart w:id="897" w:name="_Toc305158830"/>
      <w:r/>
      <w:bookmarkStart w:id="898" w:name="_Toc195842927"/>
      <w:r/>
      <w:bookmarkStart w:id="899" w:name="_Toc226337258"/>
      <w:r/>
      <w:bookmarkStart w:id="900" w:name="_Toc226965752"/>
      <w:r/>
      <w:bookmarkStart w:id="901" w:name="_Toc226965835"/>
      <w:r/>
      <w:bookmarkStart w:id="902" w:name="_Toc127151562"/>
      <w:r/>
      <w:bookmarkStart w:id="903" w:name="_Toc226337257"/>
      <w:r/>
      <w:bookmarkStart w:id="904" w:name="_Toc305158903"/>
      <w:r/>
      <w:bookmarkStart w:id="905" w:name="_Toc305158829"/>
      <w:r/>
      <w:bookmarkStart w:id="906" w:name="_Toc265228399"/>
      <w:r/>
      <w:bookmarkStart w:id="907" w:name="_Toc195842926"/>
      <w:r/>
      <w:bookmarkStart w:id="908" w:name="_Toc127151561"/>
      <w:r/>
      <w:bookmarkStart w:id="909" w:name="_Toc226965751"/>
      <w:r/>
      <w:bookmarkStart w:id="910" w:name="_Toc150480797"/>
      <w:r/>
      <w:bookmarkStart w:id="911" w:name="_Toc264969251"/>
      <w:r>
        <w:rPr>
          <w:rFonts w:hint="eastAsia" w:ascii="宋体" w:hAnsi="宋体" w:cs="宋体"/>
          <w:bCs/>
          <w:color w:val="000000"/>
          <w:sz w:val="24"/>
          <w:highlight w:val="none"/>
        </w:rPr>
        <w:t xml:space="preserve">投标分项报价表（实质性格式）</w:t>
      </w:r>
      <w:r>
        <w:rPr>
          <w:rFonts w:hint="eastAsia" w:ascii="宋体" w:hAnsi="宋体" w:cs="宋体"/>
          <w:bCs/>
          <w:color w:val="000000"/>
          <w:sz w:val="24"/>
          <w:highlight w:val="none"/>
        </w:rPr>
      </w:r>
      <w:r/>
    </w:p>
    <w:p>
      <w:pPr>
        <w:pStyle w:val="1126"/>
        <w:jc w:val="center"/>
        <w:spacing w:line="360" w:lineRule="exact"/>
        <w:rPr>
          <w:rFonts w:hint="eastAsia"/>
          <w:b/>
          <w:color w:val="000000"/>
          <w:sz w:val="36"/>
          <w:szCs w:val="36"/>
          <w:highlight w:val="none"/>
        </w:rPr>
      </w:pPr>
      <w:r/>
      <w:bookmarkStart w:id="912" w:name="_Toc29062"/>
      <w:r/>
      <w:bookmarkStart w:id="913" w:name="_Toc22479"/>
      <w:r/>
      <w:bookmarkStart w:id="914" w:name="_Toc25130"/>
      <w:r/>
      <w:bookmarkStart w:id="915" w:name="_Toc23177"/>
      <w:r>
        <w:rPr>
          <w:rFonts w:hint="eastAsia"/>
          <w:b/>
          <w:color w:val="000000"/>
          <w:sz w:val="36"/>
          <w:szCs w:val="36"/>
          <w:highlight w:val="none"/>
        </w:rPr>
      </w:r>
      <w:r/>
    </w:p>
    <w:p>
      <w:pPr>
        <w:pStyle w:val="1126"/>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投标分项报价表</w:t>
      </w:r>
      <w:r>
        <w:rPr>
          <w:rFonts w:hint="eastAsia" w:ascii="宋体" w:hAnsi="宋体"/>
          <w:b/>
          <w:color w:val="000000"/>
          <w:sz w:val="32"/>
          <w:szCs w:val="32"/>
          <w:highlight w:val="none"/>
        </w:rPr>
      </w:r>
      <w:r/>
    </w:p>
    <w:p>
      <w:pPr>
        <w:pStyle w:val="1126"/>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1126"/>
        <w:tabs>
          <w:tab w:val="left" w:pos="1800" w:leader="none"/>
          <w:tab w:val="left" w:pos="5580" w:leader="none"/>
        </w:tabs>
        <w:rPr>
          <w:rFonts w:hint="eastAsia"/>
          <w:color w:val="000000"/>
          <w:sz w:val="24"/>
          <w:highlight w:val="none"/>
        </w:rPr>
      </w:pPr>
      <w:r>
        <w:rPr>
          <w:color w:val="000000"/>
          <w:sz w:val="24"/>
          <w:highlight w:val="none"/>
        </w:rPr>
        <w:t xml:space="preserve">项目编号/包号：___________ </w:t>
      </w:r>
      <w:r>
        <w:rPr>
          <w:rFonts w:hint="eastAsia"/>
          <w:color w:val="000000"/>
          <w:sz w:val="24"/>
          <w:highlight w:val="none"/>
        </w:rPr>
        <w:t xml:space="preserve">  </w:t>
      </w:r>
      <w:r>
        <w:rPr>
          <w:color w:val="000000"/>
          <w:sz w:val="24"/>
          <w:highlight w:val="none"/>
        </w:rPr>
        <w:t xml:space="preserve">项目名称：__________</w:t>
      </w:r>
      <w:r>
        <w:rPr>
          <w:rFonts w:hint="eastAsia"/>
          <w:color w:val="000000"/>
          <w:sz w:val="24"/>
          <w:highlight w:val="none"/>
        </w:rPr>
        <w:t xml:space="preserve">    </w:t>
      </w:r>
      <w:r>
        <w:rPr>
          <w:color w:val="000000"/>
          <w:sz w:val="24"/>
          <w:highlight w:val="none"/>
        </w:rPr>
        <w:t xml:space="preserve">报价单位：人民币</w:t>
      </w:r>
      <w:r>
        <w:rPr>
          <w:rFonts w:hint="eastAsia"/>
          <w:color w:val="000000"/>
          <w:sz w:val="24"/>
          <w:highlight w:val="none"/>
        </w:rPr>
        <w:t xml:space="preserve">（</w:t>
      </w:r>
      <w:r>
        <w:rPr>
          <w:color w:val="000000"/>
          <w:sz w:val="24"/>
          <w:highlight w:val="none"/>
        </w:rPr>
        <w:t xml:space="preserve">元</w:t>
      </w:r>
      <w:r>
        <w:rPr>
          <w:rFonts w:hint="eastAsia"/>
          <w:color w:val="000000"/>
          <w:sz w:val="24"/>
          <w:highlight w:val="none"/>
        </w:rPr>
        <w:t xml:space="preserve">）</w:t>
      </w:r>
      <w:r>
        <w:rPr>
          <w:rFonts w:hint="eastAsia"/>
          <w:color w:val="000000"/>
          <w:sz w:val="24"/>
          <w:highlight w:val="none"/>
        </w:rPr>
      </w:r>
      <w:r/>
    </w:p>
    <w:p>
      <w:pPr>
        <w:pStyle w:val="1126"/>
        <w:tabs>
          <w:tab w:val="left" w:pos="1800" w:leader="none"/>
          <w:tab w:val="left" w:pos="5580" w:leader="none"/>
        </w:tabs>
        <w:rPr>
          <w:rFonts w:hint="eastAsia"/>
          <w:color w:val="000000"/>
          <w:sz w:val="24"/>
          <w:highlight w:val="none"/>
        </w:rPr>
      </w:pPr>
      <w:r>
        <w:rPr>
          <w:rFonts w:hint="eastAsia"/>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126"/>
              <w:jc w:val="center"/>
              <w:widowControl/>
              <w:rPr>
                <w:rFonts w:ascii="宋体" w:hAnsi="宋体" w:cs="Arial"/>
                <w:color w:val="000000"/>
                <w:sz w:val="24"/>
                <w:highlight w:val="none"/>
              </w:rPr>
            </w:pPr>
            <w:r/>
            <w:bookmarkEnd w:id="912"/>
            <w:r/>
            <w:bookmarkEnd w:id="913"/>
            <w:r/>
            <w:bookmarkEnd w:id="914"/>
            <w:r/>
            <w:bookmarkEnd w:id="915"/>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126"/>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126"/>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126"/>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126"/>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126"/>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126"/>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126"/>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1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1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1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1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1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1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126"/>
              <w:jc w:val="center"/>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gridSpan w:val="2"/>
            <w:tcW w:w="1991" w:type="dxa"/>
            <w:vAlign w:val="center"/>
            <w:textDirection w:val="lrTb"/>
            <w:noWrap w:val="false"/>
          </w:tcPr>
          <w:p>
            <w:pPr>
              <w:pStyle w:val="1126"/>
              <w:jc w:val="center"/>
              <w:widowControl/>
              <w:rPr>
                <w:rFonts w:ascii="宋体" w:hAnsi="宋体" w:cs="Arial"/>
                <w:color w:val="000000"/>
                <w:sz w:val="24"/>
                <w:highlight w:val="none"/>
              </w:rPr>
            </w:pPr>
            <w:r>
              <w:rPr>
                <w:rFonts w:ascii="宋体" w:hAnsi="宋体" w:cs="Arial"/>
                <w:color w:val="000000"/>
                <w:sz w:val="24"/>
                <w:highlight w:val="none"/>
              </w:rPr>
            </w:r>
            <w:r/>
          </w:p>
        </w:tc>
      </w:tr>
    </w:tbl>
    <w:p>
      <w:pPr>
        <w:pStyle w:val="1126"/>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126"/>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126"/>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1126"/>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1126"/>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1126"/>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12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126"/>
        <w:jc w:val="left"/>
        <w:widowControl/>
        <w:rPr>
          <w:rFonts w:hint="eastAsia" w:ascii="宋体" w:hAnsi="宋体"/>
          <w:color w:val="000000"/>
          <w:sz w:val="24"/>
          <w:szCs w:val="20"/>
          <w:highlight w:val="none"/>
        </w:rPr>
      </w:pPr>
      <w:r>
        <w:rPr>
          <w:color w:val="000000"/>
          <w:sz w:val="24"/>
          <w:szCs w:val="20"/>
          <w:highlight w:val="none"/>
        </w:rPr>
        <w:br w:type="page" w:clear="all"/>
      </w:r>
      <w:r>
        <w:rPr>
          <w:rFonts w:hint="eastAsia" w:ascii="宋体" w:hAnsi="宋体"/>
          <w:color w:val="000000"/>
          <w:sz w:val="24"/>
          <w:szCs w:val="20"/>
          <w:highlight w:val="none"/>
        </w:rPr>
        <w:t xml:space="preserve">7</w:t>
      </w:r>
      <w:r>
        <w:rPr>
          <w:rFonts w:ascii="宋体" w:hAnsi="宋体"/>
          <w:color w:val="000000"/>
          <w:sz w:val="24"/>
          <w:szCs w:val="20"/>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ascii="宋体" w:hAnsi="宋体"/>
          <w:color w:val="000000"/>
          <w:sz w:val="24"/>
          <w:szCs w:val="20"/>
          <w:highlight w:val="none"/>
        </w:rPr>
      </w:r>
      <w:r/>
    </w:p>
    <w:p>
      <w:pPr>
        <w:pStyle w:val="112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26"/>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合同条款偏离表</w:t>
      </w:r>
      <w:r>
        <w:rPr>
          <w:rFonts w:hint="eastAsia" w:ascii="宋体" w:hAnsi="宋体"/>
          <w:b/>
          <w:color w:val="000000"/>
          <w:sz w:val="32"/>
          <w:szCs w:val="32"/>
          <w:highlight w:val="none"/>
        </w:rPr>
      </w:r>
      <w:r/>
    </w:p>
    <w:p>
      <w:pPr>
        <w:pStyle w:val="112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26"/>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12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12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12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29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198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198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23"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29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bl>
    <w:p>
      <w:pPr>
        <w:pStyle w:val="11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1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12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12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12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2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12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8</w:t>
      </w:r>
      <w:r>
        <w:rPr>
          <w:rFonts w:ascii="宋体" w:hAnsi="宋体"/>
          <w:color w:val="000000"/>
          <w:sz w:val="24"/>
          <w:szCs w:val="20"/>
          <w:highlight w:val="none"/>
        </w:rPr>
        <w:t xml:space="preserve">  </w:t>
      </w:r>
      <w:bookmarkEnd w:id="886"/>
      <w:r/>
      <w:bookmarkEnd w:id="887"/>
      <w:r/>
      <w:bookmarkEnd w:id="888"/>
      <w:r/>
      <w:bookmarkEnd w:id="889"/>
      <w:r/>
      <w:bookmarkEnd w:id="903"/>
      <w:r/>
      <w:bookmarkEnd w:id="904"/>
      <w:r/>
      <w:bookmarkEnd w:id="905"/>
      <w:r/>
      <w:bookmarkEnd w:id="906"/>
      <w:r/>
      <w:bookmarkEnd w:id="907"/>
      <w:r/>
      <w:bookmarkEnd w:id="908"/>
      <w:r/>
      <w:bookmarkEnd w:id="909"/>
      <w:r/>
      <w:bookmarkEnd w:id="910"/>
      <w:r/>
      <w:bookmarkEnd w:id="911"/>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6"/>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采购需求偏离表</w:t>
      </w:r>
      <w:r>
        <w:rPr>
          <w:rFonts w:hint="eastAsia" w:ascii="宋体" w:hAnsi="宋体"/>
          <w:b/>
          <w:color w:val="000000"/>
          <w:sz w:val="32"/>
          <w:szCs w:val="32"/>
          <w:highlight w:val="none"/>
        </w:rPr>
      </w:r>
      <w:r/>
    </w:p>
    <w:p>
      <w:pPr>
        <w:pStyle w:val="1126"/>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6"/>
              <w:jc w:val="center"/>
              <w:rPr>
                <w:rFonts w:ascii="宋体" w:hAnsi="宋体"/>
                <w:color w:val="000000"/>
                <w:sz w:val="24"/>
                <w:highlight w:val="none"/>
              </w:rPr>
            </w:pPr>
            <w:r>
              <w:rPr>
                <w:rFonts w:ascii="宋体" w:hAnsi="宋体"/>
                <w:color w:val="000000"/>
                <w:sz w:val="24"/>
                <w:highlight w:val="none"/>
              </w:rPr>
            </w:r>
            <w:r/>
          </w:p>
        </w:tc>
      </w:tr>
    </w:tbl>
    <w:p>
      <w:pPr>
        <w:pStyle w:val="112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1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12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1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12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3.如无偏离，请在表格中填“无偏离”。</w:t>
      </w:r>
      <w:r>
        <w:rPr>
          <w:rFonts w:ascii="宋体" w:hAnsi="宋体"/>
          <w:color w:val="000000"/>
          <w:sz w:val="24"/>
          <w:highlight w:val="none"/>
        </w:rPr>
      </w:r>
      <w:r/>
    </w:p>
    <w:p>
      <w:pPr>
        <w:pStyle w:val="11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126"/>
        <w:rPr>
          <w:rFonts w:ascii="宋体" w:hAnsi="宋体"/>
          <w:color w:val="000000"/>
          <w:sz w:val="24"/>
          <w:szCs w:val="20"/>
          <w:highlight w:val="none"/>
        </w:rPr>
      </w:pPr>
      <w:r>
        <w:rPr>
          <w:rFonts w:ascii="宋体" w:hAnsi="宋体"/>
          <w:color w:val="000000"/>
          <w:sz w:val="24"/>
          <w:szCs w:val="20"/>
          <w:highlight w:val="none"/>
        </w:rPr>
      </w:r>
      <w:r/>
    </w:p>
    <w:p>
      <w:pPr>
        <w:pStyle w:val="112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12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9</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12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12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12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12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12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204"/>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26"/>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12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126"/>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126"/>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中小企业声明函（货物）格式</w:t>
      </w:r>
      <w:r>
        <w:rPr>
          <w:b/>
          <w:color w:val="000000"/>
          <w:sz w:val="36"/>
          <w:szCs w:val="36"/>
          <w:highlight w:val="none"/>
        </w:rPr>
      </w:r>
      <w:r/>
    </w:p>
    <w:p>
      <w:pPr>
        <w:pStyle w:val="1126"/>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rPr>
      </w:r>
      <w:r/>
    </w:p>
    <w:p>
      <w:pPr>
        <w:pStyle w:val="1126"/>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1126"/>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1126"/>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126"/>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126"/>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126"/>
        <w:ind w:firstLine="504"/>
        <w:spacing w:line="360" w:lineRule="auto"/>
        <w:rPr>
          <w:color w:val="000000"/>
          <w:spacing w:val="6"/>
          <w:sz w:val="24"/>
          <w:highlight w:val="none"/>
        </w:rPr>
      </w:pPr>
      <w:r>
        <w:rPr>
          <w:color w:val="000000"/>
          <w:spacing w:val="6"/>
          <w:sz w:val="24"/>
          <w:highlight w:val="none"/>
        </w:rPr>
      </w:r>
      <w:r/>
    </w:p>
    <w:p>
      <w:pPr>
        <w:pStyle w:val="1126"/>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126"/>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126"/>
        <w:ind w:right="360" w:firstLine="480"/>
        <w:jc w:val="right"/>
        <w:spacing w:line="360" w:lineRule="auto"/>
        <w:rPr>
          <w:color w:val="000000"/>
          <w:sz w:val="24"/>
          <w:highlight w:val="none"/>
        </w:rPr>
      </w:pPr>
      <w:r>
        <w:rPr>
          <w:color w:val="000000"/>
          <w:sz w:val="24"/>
          <w:highlight w:val="none"/>
        </w:rPr>
      </w:r>
      <w:r/>
    </w:p>
    <w:p>
      <w:pPr>
        <w:pStyle w:val="1126"/>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26"/>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126"/>
        <w:ind w:firstLine="420"/>
        <w:jc w:val="left"/>
        <w:rPr>
          <w:rFonts w:ascii="宋体" w:hAnsi="宋体"/>
          <w:color w:val="000000"/>
          <w:sz w:val="24"/>
          <w:highlight w:val="none"/>
        </w:rPr>
      </w:pPr>
      <w:r>
        <w:rPr>
          <w:rFonts w:ascii="宋体" w:hAnsi="宋体"/>
          <w:color w:val="000000"/>
          <w:sz w:val="24"/>
          <w:highlight w:val="none"/>
        </w:rPr>
      </w:r>
      <w:r/>
    </w:p>
    <w:p>
      <w:pPr>
        <w:pStyle w:val="1126"/>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126"/>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112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2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12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12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12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2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2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12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1126"/>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1126"/>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10</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11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1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1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1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126"/>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1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rPr>
        <w:t xml:space="preserve">11 参加本项目人员一览表</w:t>
      </w:r>
      <w:r>
        <w:rPr>
          <w:rFonts w:ascii="宋体" w:hAnsi="宋体"/>
          <w:color w:val="000000"/>
          <w:sz w:val="24"/>
          <w:szCs w:val="20"/>
          <w:highlight w:val="none"/>
        </w:rPr>
      </w:r>
      <w:r/>
    </w:p>
    <w:p>
      <w:pPr>
        <w:pStyle w:val="112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26"/>
        <w:spacing w:line="360" w:lineRule="auto"/>
        <w:rPr>
          <w:rFonts w:ascii="宋体" w:hAnsi="宋体"/>
          <w:color w:val="000000"/>
          <w:sz w:val="22"/>
          <w:highlight w:val="none"/>
        </w:rPr>
      </w:pPr>
      <w:r>
        <w:rPr>
          <w:rFonts w:ascii="宋体" w:hAnsi="宋体"/>
          <w:color w:val="000000"/>
          <w:sz w:val="22"/>
          <w:highlight w:val="none"/>
        </w:rPr>
      </w:r>
      <w:r/>
    </w:p>
    <w:p>
      <w:pPr>
        <w:pStyle w:val="112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2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2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126"/>
        <w:spacing w:line="360" w:lineRule="auto"/>
        <w:rPr>
          <w:rFonts w:ascii="宋体" w:hAnsi="宋体"/>
          <w:color w:val="000000"/>
          <w:sz w:val="24"/>
          <w:highlight w:val="none"/>
        </w:rPr>
      </w:pPr>
      <w:r>
        <w:rPr>
          <w:rFonts w:ascii="宋体" w:hAnsi="宋体"/>
          <w:color w:val="000000"/>
          <w:sz w:val="24"/>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126"/>
        <w:rPr>
          <w:rFonts w:ascii="宋体" w:hAnsi="宋体"/>
          <w:color w:val="000000"/>
          <w:sz w:val="24"/>
          <w:szCs w:val="20"/>
          <w:highlight w:val="none"/>
        </w:rPr>
      </w:pPr>
      <w:r>
        <w:rPr>
          <w:rFonts w:ascii="宋体" w:hAnsi="宋体"/>
          <w:color w:val="000000"/>
          <w:sz w:val="22"/>
          <w:highlight w:val="none"/>
        </w:rPr>
        <w:br w:type="page" w:clear="all"/>
      </w:r>
      <w:bookmarkStart w:id="916" w:name="_Toc288738397"/>
      <w:r/>
      <w:bookmarkStart w:id="917" w:name="_Toc288738839"/>
      <w:r>
        <w:rPr>
          <w:rFonts w:hint="eastAsia" w:ascii="宋体" w:hAnsi="宋体"/>
          <w:color w:val="000000"/>
          <w:sz w:val="24"/>
          <w:szCs w:val="20"/>
          <w:highlight w:val="none"/>
        </w:rPr>
        <w:t xml:space="preserve">12  相关业绩案例一览表</w:t>
      </w:r>
      <w:r>
        <w:rPr>
          <w:rFonts w:ascii="宋体" w:hAnsi="宋体"/>
          <w:color w:val="000000"/>
          <w:sz w:val="24"/>
          <w:szCs w:val="20"/>
          <w:highlight w:val="none"/>
        </w:rPr>
      </w:r>
      <w:r/>
    </w:p>
    <w:p>
      <w:pPr>
        <w:pStyle w:val="1126"/>
        <w:rPr>
          <w:rFonts w:ascii="宋体" w:hAnsi="宋体"/>
          <w:color w:val="000000"/>
          <w:sz w:val="24"/>
          <w:szCs w:val="20"/>
          <w:highlight w:val="none"/>
        </w:rPr>
      </w:pPr>
      <w:r>
        <w:rPr>
          <w:rFonts w:ascii="宋体" w:hAnsi="宋体"/>
          <w:color w:val="000000"/>
          <w:sz w:val="24"/>
          <w:szCs w:val="20"/>
          <w:highlight w:val="none"/>
        </w:rPr>
      </w:r>
      <w:r/>
    </w:p>
    <w:p>
      <w:pPr>
        <w:pStyle w:val="112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6"/>
      <w:r/>
      <w:bookmarkEnd w:id="917"/>
      <w:r>
        <w:rPr>
          <w:rFonts w:ascii="宋体" w:hAnsi="宋体"/>
          <w:b/>
          <w:color w:val="000000"/>
          <w:sz w:val="32"/>
          <w:szCs w:val="32"/>
          <w:highlight w:val="none"/>
        </w:rPr>
      </w:r>
      <w:r/>
    </w:p>
    <w:p>
      <w:pPr>
        <w:pStyle w:val="112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2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2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26"/>
        <w:spacing w:line="360" w:lineRule="auto"/>
        <w:rPr>
          <w:rFonts w:ascii="宋体" w:hAnsi="宋体" w:cs="宋体"/>
          <w:color w:val="000000"/>
          <w:sz w:val="24"/>
          <w:highlight w:val="none"/>
        </w:rPr>
      </w:pPr>
      <w:r>
        <w:rPr>
          <w:rFonts w:ascii="宋体" w:hAnsi="宋体" w:cs="宋体"/>
          <w:color w:val="000000"/>
          <w:sz w:val="24"/>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1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126"/>
        <w:rPr>
          <w:rFonts w:ascii="宋体" w:hAnsi="宋体"/>
          <w:color w:val="000000"/>
          <w:highlight w:val="none"/>
        </w:rPr>
      </w:pPr>
      <w:r>
        <w:rPr>
          <w:rFonts w:ascii="宋体" w:hAnsi="宋体"/>
          <w:color w:val="000000"/>
          <w:highlight w:val="none"/>
        </w:rPr>
      </w:r>
      <w:r/>
    </w:p>
    <w:p>
      <w:pPr>
        <w:pStyle w:val="1126"/>
        <w:rPr>
          <w:rFonts w:ascii="宋体" w:hAnsi="宋体"/>
          <w:color w:val="000000"/>
          <w:highlight w:val="none"/>
        </w:rPr>
      </w:pPr>
      <w:r>
        <w:rPr>
          <w:rFonts w:ascii="宋体" w:hAnsi="宋体"/>
          <w:color w:val="000000"/>
          <w:highlight w:val="none"/>
        </w:rPr>
      </w:r>
      <w:r/>
    </w:p>
    <w:p>
      <w:pPr>
        <w:pStyle w:val="1126"/>
        <w:rPr>
          <w:rFonts w:ascii="宋体" w:hAnsi="宋体"/>
          <w:color w:val="000000"/>
          <w:highlight w:val="none"/>
        </w:rPr>
      </w:pPr>
      <w:r>
        <w:rPr>
          <w:rFonts w:ascii="宋体" w:hAnsi="宋体"/>
          <w:color w:val="000000"/>
          <w:highlight w:val="none"/>
        </w:rPr>
      </w:r>
      <w:r/>
    </w:p>
    <w:p>
      <w:pPr>
        <w:pStyle w:val="1126"/>
        <w:rPr>
          <w:rFonts w:ascii="宋体" w:hAnsi="宋体"/>
          <w:color w:val="000000"/>
          <w:highlight w:val="none"/>
        </w:rPr>
      </w:pPr>
      <w:r>
        <w:rPr>
          <w:rFonts w:ascii="宋体" w:hAnsi="宋体"/>
          <w:color w:val="000000"/>
          <w:highlight w:val="none"/>
        </w:rPr>
      </w:r>
      <w:r/>
    </w:p>
    <w:p>
      <w:pPr>
        <w:pStyle w:val="1126"/>
        <w:rPr>
          <w:rFonts w:ascii="宋体" w:hAnsi="宋体"/>
          <w:color w:val="000000"/>
          <w:highlight w:val="none"/>
        </w:rPr>
      </w:pPr>
      <w:r>
        <w:rPr>
          <w:rFonts w:ascii="宋体" w:hAnsi="宋体"/>
          <w:color w:val="00000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126"/>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rPr>
        <w:t xml:space="preserve">13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1126"/>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2">
    <w:panose1 w:val="05020102010507070707"/>
  </w:font>
  <w:font w:name="SimSun">
    <w:panose1 w:val="02010600030101010101"/>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ZeissFrutigerNextPro-Rg">
    <w:panose1 w:val="020B050302020202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right="360"/>
      <w:tabs>
        <w:tab w:val="center" w:pos="4153" w:leader="none"/>
        <w:tab w:val="right" w:pos="8306" w:leader="none"/>
      </w:tabs>
      <w:rPr>
        <w:rStyle w:val="1201"/>
      </w:rPr>
      <w:framePr w:wrap="around" w:vAnchor="text" w:hAnchor="margin" w:y="1"/>
    </w:pPr>
    <w:r>
      <w:rPr>
        <w:rStyle w:val="1201"/>
      </w:rPr>
    </w:r>
    <w:r/>
  </w:p>
  <w:p>
    <w:pPr>
      <w:pStyle w:val="1175"/>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rPr>
        <w:rStyle w:val="1201"/>
      </w:rPr>
      <w:framePr w:wrap="around" w:vAnchor="text" w:hAnchor="margin" w:xAlign="center" w:y="1"/>
    </w:pPr>
    <w:r>
      <w:fldChar w:fldCharType="begin"/>
    </w:r>
    <w:r>
      <w:rPr>
        <w:rStyle w:val="1201"/>
      </w:rPr>
      <w:instrText xml:space="preserve">PAGE  </w:instrText>
    </w:r>
    <w:r>
      <w:fldChar w:fldCharType="end"/>
    </w:r>
    <w:r>
      <w:rPr>
        <w:rStyle w:val="1201"/>
      </w:rPr>
    </w:r>
    <w:r/>
  </w:p>
  <w:p>
    <w:pPr>
      <w:pStyle w:val="117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rPr>
        <w:rStyle w:val="1201"/>
      </w:rPr>
      <w:framePr w:wrap="around" w:vAnchor="text" w:hAnchor="margin" w:xAlign="right" w:y="1"/>
    </w:pPr>
    <w:r>
      <w:rPr>
        <w:rStyle w:val="1201"/>
      </w:rPr>
    </w:r>
    <w:r/>
  </w:p>
  <w:p>
    <w:pPr>
      <w:pStyle w:val="1175"/>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239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1175"/>
                            <w:tabs>
                              <w:tab w:val="clear" w:pos="4140" w:leader="none"/>
                              <w:tab w:val="clear" w:pos="8300" w:leader="none"/>
                            </w:tabs>
                          </w:pPr>
                          <w:r>
                            <w:fldChar w:fldCharType="begin"/>
                          </w:r>
                          <w:r>
                            <w:instrText xml:space="preserve"> PAGE  \* MERGEFORMAT </w:instrText>
                          </w:r>
                          <w:r>
                            <w:fldChar w:fldCharType="separate"/>
                          </w:r>
                          <w:r>
                            <w:t xml:space="preserve">42</w:t>
                          </w:r>
                          <w:r>
                            <w:fldChar w:fldCharType="end"/>
                          </w:r>
                          <w:r/>
                        </w:p>
                        <w:p>
                          <w:pPr>
                            <w:pStyle w:val="112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1175"/>
                      <w:tabs>
                        <w:tab w:val="clear" w:pos="4140" w:leader="none"/>
                        <w:tab w:val="clear" w:pos="8300" w:leader="none"/>
                      </w:tabs>
                    </w:pPr>
                    <w:r>
                      <w:fldChar w:fldCharType="begin"/>
                    </w:r>
                    <w:r>
                      <w:instrText xml:space="preserve"> PAGE  \* MERGEFORMAT </w:instrText>
                    </w:r>
                    <w:r>
                      <w:fldChar w:fldCharType="separate"/>
                    </w:r>
                    <w:r>
                      <w:t xml:space="preserve">42</w:t>
                    </w:r>
                    <w:r>
                      <w:fldChar w:fldCharType="end"/>
                    </w:r>
                    <w:r/>
                  </w:p>
                  <w:p>
                    <w:pPr>
                      <w:pStyle w:val="112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rPr>
        <w:rStyle w:val="120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11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1126"/>
                    </w:pPr>
                    <w:r/>
                    <w:r/>
                  </w:p>
                </w:txbxContent>
              </v:textbox>
            </v:shape>
          </w:pict>
        </mc:Fallback>
      </mc:AlternateContent>
    </w:r>
    <w:r>
      <w:rPr>
        <w:rStyle w:val="1201"/>
      </w:rPr>
    </w:r>
    <w:r/>
  </w:p>
  <w:p>
    <w:pPr>
      <w:pStyle w:val="1175"/>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rPr>
        <w:rStyle w:val="1201"/>
      </w:rPr>
      <w:framePr w:wrap="around" w:vAnchor="text" w:hAnchor="margin" w:xAlign="right" w:y="1"/>
    </w:pPr>
    <w:r>
      <w:rPr>
        <w:rStyle w:val="1201"/>
      </w:rPr>
      <w:fldChar w:fldCharType="begin"/>
    </w:r>
    <w:r>
      <w:rPr>
        <w:rStyle w:val="1201"/>
      </w:rPr>
      <w:instrText xml:space="preserve">PAGE  </w:instrText>
    </w:r>
    <w:r>
      <w:rPr>
        <w:rStyle w:val="1201"/>
      </w:rPr>
      <w:fldChar w:fldCharType="end"/>
    </w:r>
    <w:r>
      <w:rPr>
        <w:rStyle w:val="1201"/>
      </w:rPr>
    </w:r>
    <w:r/>
  </w:p>
  <w:p>
    <w:pPr>
      <w:pStyle w:val="1175"/>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rPr>
        <w:rStyle w:val="1201"/>
      </w:rPr>
      <w:framePr w:wrap="around" w:vAnchor="text" w:hAnchor="margin" w:xAlign="right" w:y="1"/>
    </w:pPr>
    <w:r>
      <w:rPr>
        <w:rStyle w:val="1201"/>
      </w:rPr>
      <w:fldChar w:fldCharType="begin"/>
    </w:r>
    <w:r>
      <w:rPr>
        <w:rStyle w:val="1201"/>
      </w:rPr>
      <w:instrText xml:space="preserve">PAGE  </w:instrText>
    </w:r>
    <w:r>
      <w:rPr>
        <w:rStyle w:val="1201"/>
      </w:rPr>
      <w:fldChar w:fldCharType="end"/>
    </w:r>
    <w:r>
      <w:rPr>
        <w:rStyle w:val="1201"/>
      </w:rPr>
    </w:r>
    <w:r/>
  </w:p>
  <w:p>
    <w:pPr>
      <w:pStyle w:val="1175"/>
      <w:ind w:right="360"/>
      <w:tabs>
        <w:tab w:val="center" w:pos="4153" w:leader="none"/>
        <w:tab w:val="right" w:pos="8306" w:leader="none"/>
      </w:tabs>
    </w:pPr>
    <w:r/>
    <w:r/>
  </w:p>
  <w:p>
    <w:pPr>
      <w:pStyle w:val="1126"/>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p>
    <w:pPr>
      <w:pStyle w:val="112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1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126"/>
        <w:ind w:left="4941" w:hanging="1140"/>
        <w:tabs>
          <w:tab w:val="num" w:pos="4941" w:leader="none"/>
        </w:tabs>
      </w:pPr>
      <w:rPr>
        <w:rFonts w:hint="eastAsia"/>
      </w:rPr>
    </w:lvl>
    <w:lvl w:ilvl="1">
      <w:start w:val="1"/>
      <w:numFmt w:val="lowerLetter"/>
      <w:isLgl w:val="false"/>
      <w:suff w:val="tab"/>
      <w:lvlText w:val="%2)"/>
      <w:lvlJc w:val="left"/>
      <w:pPr>
        <w:pStyle w:val="1126"/>
        <w:ind w:left="4641" w:hanging="420"/>
        <w:tabs>
          <w:tab w:val="num" w:pos="4641" w:leader="none"/>
        </w:tabs>
      </w:pPr>
    </w:lvl>
    <w:lvl w:ilvl="2">
      <w:start w:val="1"/>
      <w:numFmt w:val="lowerRoman"/>
      <w:isLgl w:val="false"/>
      <w:suff w:val="tab"/>
      <w:lvlText w:val="%3."/>
      <w:lvlJc w:val="right"/>
      <w:pPr>
        <w:pStyle w:val="1126"/>
        <w:ind w:left="5061" w:hanging="420"/>
        <w:tabs>
          <w:tab w:val="num" w:pos="5061" w:leader="none"/>
        </w:tabs>
      </w:pPr>
    </w:lvl>
    <w:lvl w:ilvl="3">
      <w:start w:val="1"/>
      <w:numFmt w:val="decimal"/>
      <w:isLgl w:val="false"/>
      <w:suff w:val="tab"/>
      <w:lvlText w:val="%4."/>
      <w:lvlJc w:val="left"/>
      <w:pPr>
        <w:pStyle w:val="1126"/>
        <w:ind w:left="5481" w:hanging="420"/>
        <w:tabs>
          <w:tab w:val="num" w:pos="5481" w:leader="none"/>
        </w:tabs>
      </w:pPr>
    </w:lvl>
    <w:lvl w:ilvl="4">
      <w:start w:val="1"/>
      <w:numFmt w:val="lowerLetter"/>
      <w:isLgl w:val="false"/>
      <w:suff w:val="tab"/>
      <w:lvlText w:val="%5)"/>
      <w:lvlJc w:val="left"/>
      <w:pPr>
        <w:pStyle w:val="1126"/>
        <w:ind w:left="5901" w:hanging="420"/>
        <w:tabs>
          <w:tab w:val="num" w:pos="5901" w:leader="none"/>
        </w:tabs>
      </w:pPr>
    </w:lvl>
    <w:lvl w:ilvl="5">
      <w:start w:val="1"/>
      <w:numFmt w:val="lowerRoman"/>
      <w:isLgl w:val="false"/>
      <w:suff w:val="tab"/>
      <w:lvlText w:val="%6."/>
      <w:lvlJc w:val="right"/>
      <w:pPr>
        <w:pStyle w:val="1126"/>
        <w:ind w:left="6321" w:hanging="420"/>
        <w:tabs>
          <w:tab w:val="num" w:pos="6321" w:leader="none"/>
        </w:tabs>
      </w:pPr>
    </w:lvl>
    <w:lvl w:ilvl="6">
      <w:start w:val="1"/>
      <w:numFmt w:val="decimal"/>
      <w:isLgl w:val="false"/>
      <w:suff w:val="tab"/>
      <w:lvlText w:val="%7."/>
      <w:lvlJc w:val="left"/>
      <w:pPr>
        <w:pStyle w:val="1126"/>
        <w:ind w:left="6741" w:hanging="420"/>
        <w:tabs>
          <w:tab w:val="num" w:pos="6741" w:leader="none"/>
        </w:tabs>
      </w:pPr>
    </w:lvl>
    <w:lvl w:ilvl="7">
      <w:start w:val="1"/>
      <w:numFmt w:val="lowerLetter"/>
      <w:isLgl w:val="false"/>
      <w:suff w:val="tab"/>
      <w:lvlText w:val="%8)"/>
      <w:lvlJc w:val="left"/>
      <w:pPr>
        <w:pStyle w:val="1126"/>
        <w:ind w:left="7161" w:hanging="420"/>
        <w:tabs>
          <w:tab w:val="num" w:pos="7161" w:leader="none"/>
        </w:tabs>
      </w:pPr>
    </w:lvl>
    <w:lvl w:ilvl="8">
      <w:start w:val="1"/>
      <w:numFmt w:val="lowerRoman"/>
      <w:isLgl w:val="false"/>
      <w:suff w:val="tab"/>
      <w:lvlText w:val="%9."/>
      <w:lvlJc w:val="right"/>
      <w:pPr>
        <w:pStyle w:val="1126"/>
        <w:ind w:left="7581" w:hanging="420"/>
        <w:tabs>
          <w:tab w:val="num" w:pos="7581" w:leader="none"/>
        </w:tabs>
      </w:pPr>
    </w:lvl>
  </w:abstractNum>
  <w:abstractNum w:abstractNumId="3">
    <w:multiLevelType w:val="hybridMultilevel"/>
    <w:lvl w:ilvl="0">
      <w:start w:val="1"/>
      <w:numFmt w:val="decimal"/>
      <w:pStyle w:val="1242"/>
      <w:isLgl w:val="false"/>
      <w:suff w:val="tab"/>
      <w:lvlText w:val="%1."/>
      <w:lvlJc w:val="left"/>
      <w:pPr>
        <w:pStyle w:val="1126"/>
        <w:ind w:left="420" w:hanging="420"/>
      </w:pPr>
    </w:lvl>
    <w:lvl w:ilvl="1">
      <w:start w:val="1"/>
      <w:numFmt w:val="decimal"/>
      <w:isLgl w:val="false"/>
      <w:suff w:val="tab"/>
      <w:lvlText w:val="（%2）"/>
      <w:lvlJc w:val="left"/>
      <w:pPr>
        <w:pStyle w:val="1126"/>
        <w:ind w:left="1140" w:hanging="720"/>
        <w:tabs>
          <w:tab w:val="num" w:pos="1140" w:leader="none"/>
        </w:tabs>
      </w:pPr>
      <w:rPr>
        <w:rFonts w:hint="eastAsia"/>
      </w:r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abstractNum w:abstractNumId="4">
    <w:multiLevelType w:val="hybridMultilevel"/>
    <w:lvl w:ilvl="0">
      <w:start w:val="1"/>
      <w:numFmt w:val="lowerLetter"/>
      <w:pStyle w:val="1317"/>
      <w:isLgl w:val="false"/>
      <w:suff w:val="tab"/>
      <w:lvlText w:val="%1)"/>
      <w:lvlJc w:val="left"/>
      <w:pPr>
        <w:pStyle w:val="1126"/>
        <w:ind w:left="902" w:hanging="420"/>
      </w:pPr>
      <w:rPr>
        <w:color w:val="000000"/>
      </w:rPr>
    </w:lvl>
    <w:lvl w:ilvl="1">
      <w:start w:val="1"/>
      <w:numFmt w:val="lowerLetter"/>
      <w:isLgl w:val="false"/>
      <w:suff w:val="tab"/>
      <w:lvlText w:val="%2)"/>
      <w:lvlJc w:val="left"/>
      <w:pPr>
        <w:pStyle w:val="1126"/>
        <w:ind w:left="1322" w:hanging="420"/>
      </w:pPr>
    </w:lvl>
    <w:lvl w:ilvl="2">
      <w:start w:val="1"/>
      <w:numFmt w:val="lowerRoman"/>
      <w:isLgl w:val="false"/>
      <w:suff w:val="tab"/>
      <w:lvlText w:val="%3."/>
      <w:lvlJc w:val="right"/>
      <w:pPr>
        <w:pStyle w:val="1126"/>
        <w:ind w:left="1742" w:hanging="420"/>
      </w:pPr>
    </w:lvl>
    <w:lvl w:ilvl="3">
      <w:start w:val="1"/>
      <w:numFmt w:val="decimal"/>
      <w:isLgl w:val="false"/>
      <w:suff w:val="tab"/>
      <w:lvlText w:val="%4."/>
      <w:lvlJc w:val="left"/>
      <w:pPr>
        <w:pStyle w:val="1126"/>
        <w:ind w:left="2162" w:hanging="420"/>
      </w:pPr>
    </w:lvl>
    <w:lvl w:ilvl="4">
      <w:start w:val="1"/>
      <w:numFmt w:val="lowerLetter"/>
      <w:isLgl w:val="false"/>
      <w:suff w:val="tab"/>
      <w:lvlText w:val="%5)"/>
      <w:lvlJc w:val="left"/>
      <w:pPr>
        <w:pStyle w:val="1126"/>
        <w:ind w:left="2582" w:hanging="420"/>
      </w:pPr>
    </w:lvl>
    <w:lvl w:ilvl="5">
      <w:start w:val="1"/>
      <w:numFmt w:val="lowerRoman"/>
      <w:isLgl w:val="false"/>
      <w:suff w:val="tab"/>
      <w:lvlText w:val="%6."/>
      <w:lvlJc w:val="right"/>
      <w:pPr>
        <w:pStyle w:val="1126"/>
        <w:ind w:left="3002" w:hanging="420"/>
      </w:pPr>
    </w:lvl>
    <w:lvl w:ilvl="6">
      <w:start w:val="1"/>
      <w:numFmt w:val="decimal"/>
      <w:isLgl w:val="false"/>
      <w:suff w:val="tab"/>
      <w:lvlText w:val="%7."/>
      <w:lvlJc w:val="left"/>
      <w:pPr>
        <w:pStyle w:val="1126"/>
        <w:ind w:left="3422" w:hanging="420"/>
      </w:pPr>
    </w:lvl>
    <w:lvl w:ilvl="7">
      <w:start w:val="1"/>
      <w:numFmt w:val="lowerLetter"/>
      <w:isLgl w:val="false"/>
      <w:suff w:val="tab"/>
      <w:lvlText w:val="%8)"/>
      <w:lvlJc w:val="left"/>
      <w:pPr>
        <w:pStyle w:val="1126"/>
        <w:ind w:left="3842" w:hanging="420"/>
      </w:pPr>
    </w:lvl>
    <w:lvl w:ilvl="8">
      <w:start w:val="1"/>
      <w:numFmt w:val="lowerRoman"/>
      <w:isLgl w:val="false"/>
      <w:suff w:val="tab"/>
      <w:lvlText w:val="%9."/>
      <w:lvlJc w:val="right"/>
      <w:pPr>
        <w:pStyle w:val="1126"/>
        <w:ind w:left="4262" w:hanging="420"/>
      </w:pPr>
    </w:lvl>
  </w:abstractNum>
  <w:abstractNum w:abstractNumId="5">
    <w:multiLevelType w:val="hybridMultilevel"/>
    <w:lvl w:ilvl="0">
      <w:start w:val="1"/>
      <w:numFmt w:val="decimal"/>
      <w:pStyle w:val="1288"/>
      <w:isLgl w:val="false"/>
      <w:suff w:val="tab"/>
      <w:lvlText w:val="%1."/>
      <w:lvlJc w:val="left"/>
      <w:pPr>
        <w:pStyle w:val="1126"/>
        <w:ind w:left="360" w:hanging="360"/>
        <w:tabs>
          <w:tab w:val="num" w:pos="360" w:leader="none"/>
        </w:tabs>
      </w:pPr>
    </w:lvl>
    <w:lvl w:ilvl="1">
      <w:start w:val="1"/>
      <w:numFmt w:val="lowerLetter"/>
      <w:isLgl w:val="false"/>
      <w:suff w:val="tab"/>
      <w:lvlText w:val="%2)"/>
      <w:lvlJc w:val="left"/>
      <w:pPr>
        <w:pStyle w:val="1126"/>
        <w:ind w:left="840" w:hanging="420"/>
      </w:p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abstractNum w:abstractNumId="6">
    <w:multiLevelType w:val="hybridMultilevel"/>
    <w:lvl w:ilvl="0">
      <w:start w:val="1"/>
      <w:numFmt w:val="decimal"/>
      <w:pStyle w:val="1235"/>
      <w:isLgl w:val="false"/>
      <w:suff w:val="nothing"/>
      <w:lvlText w:val="%1　"/>
      <w:lvlJc w:val="left"/>
      <w:pPr>
        <w:pStyle w:val="11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6"/>
        <w:ind w:left="-25" w:firstLine="0"/>
      </w:pPr>
      <w:rPr>
        <w:rFonts w:ascii="Times New Roman" w:hAnsi="Times New Roman" w:eastAsia="黑体"/>
        <w:b/>
        <w:i w:val="0"/>
        <w:sz w:val="28"/>
      </w:rPr>
    </w:lvl>
    <w:lvl w:ilvl="3">
      <w:start w:val="1"/>
      <w:numFmt w:val="decimal"/>
      <w:pStyle w:val="1272"/>
      <w:isLgl w:val="false"/>
      <w:suff w:val="nothing"/>
      <w:lvlText w:val="%1.%2.%3.%4　"/>
      <w:lvlJc w:val="left"/>
      <w:pPr>
        <w:pStyle w:val="11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6"/>
        <w:ind w:left="-25" w:firstLine="0"/>
      </w:pPr>
      <w:rPr>
        <w:rFonts w:ascii="Times New Roman" w:hAnsi="Times New Roman" w:eastAsia="宋体"/>
        <w:b/>
        <w:i w:val="0"/>
        <w:sz w:val="28"/>
      </w:rPr>
    </w:lvl>
    <w:lvl w:ilvl="6">
      <w:start w:val="1"/>
      <w:numFmt w:val="lowerLetter"/>
      <w:pStyle w:val="1294"/>
      <w:isLgl w:val="false"/>
      <w:suff w:val="tab"/>
      <w:lvlText w:val="%7) "/>
      <w:lvlJc w:val="left"/>
      <w:pPr>
        <w:pStyle w:val="1126"/>
        <w:ind w:left="-125" w:firstLine="400"/>
        <w:tabs>
          <w:tab w:val="num" w:pos="635" w:leader="none"/>
        </w:tabs>
      </w:pPr>
      <w:rPr>
        <w:rFonts w:ascii="Times New Roman" w:hAnsi="Times New Roman" w:eastAsia="宋体"/>
        <w:b/>
        <w:i w:val="0"/>
        <w:color w:val="000000"/>
        <w:sz w:val="28"/>
        <w:u w:val="none"/>
      </w:rPr>
    </w:lvl>
    <w:lvl w:ilvl="7">
      <w:start w:val="1"/>
      <w:numFmt w:val="decimal"/>
      <w:pStyle w:val="1257"/>
      <w:isLgl w:val="false"/>
      <w:suff w:val="tab"/>
      <w:lvlText w:val="%8) "/>
      <w:lvlJc w:val="left"/>
      <w:pPr>
        <w:pStyle w:val="11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
      <w:lvlJc w:val="left"/>
      <w:pPr>
        <w:pStyle w:val="1126"/>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126"/>
        <w:ind w:left="768" w:hanging="360"/>
        <w:tabs>
          <w:tab w:val="num" w:pos="768" w:leader="none"/>
        </w:tabs>
      </w:pPr>
      <w:rPr>
        <w:rFonts w:hint="eastAsia"/>
      </w:rPr>
    </w:lvl>
    <w:lvl w:ilvl="1">
      <w:start w:val="1"/>
      <w:numFmt w:val="decimal"/>
      <w:pStyle w:val="1275"/>
      <w:isLgl w:val="false"/>
      <w:suff w:val="tab"/>
      <w:lvlText w:val="%2、"/>
      <w:lvlJc w:val="left"/>
      <w:pPr>
        <w:pStyle w:val="1126"/>
        <w:ind w:left="1188" w:hanging="360"/>
        <w:tabs>
          <w:tab w:val="num" w:pos="1188" w:leader="none"/>
        </w:tabs>
      </w:pPr>
      <w:rPr>
        <w:rFonts w:hint="eastAsia"/>
      </w:rPr>
    </w:lvl>
    <w:lvl w:ilvl="2">
      <w:start w:val="1"/>
      <w:numFmt w:val="decimal"/>
      <w:isLgl w:val="false"/>
      <w:suff w:val="tab"/>
      <w:lvlText w:val="（%3）"/>
      <w:lvlJc w:val="left"/>
      <w:pPr>
        <w:pStyle w:val="1126"/>
        <w:ind w:left="1968" w:hanging="720"/>
        <w:tabs>
          <w:tab w:val="num" w:pos="1968" w:leader="none"/>
        </w:tabs>
      </w:pPr>
      <w:rPr>
        <w:rFonts w:hint="eastAsia"/>
        <w:u w:val="none"/>
      </w:rPr>
    </w:lvl>
    <w:lvl w:ilvl="3">
      <w:start w:val="1"/>
      <w:numFmt w:val="decimal"/>
      <w:isLgl w:val="false"/>
      <w:suff w:val="tab"/>
      <w:lvlText w:val="%4."/>
      <w:lvlJc w:val="left"/>
      <w:pPr>
        <w:pStyle w:val="1126"/>
        <w:ind w:left="2088" w:hanging="420"/>
        <w:tabs>
          <w:tab w:val="num" w:pos="2088" w:leader="none"/>
        </w:tabs>
      </w:pPr>
    </w:lvl>
    <w:lvl w:ilvl="4">
      <w:start w:val="1"/>
      <w:numFmt w:val="lowerLetter"/>
      <w:isLgl w:val="false"/>
      <w:suff w:val="tab"/>
      <w:lvlText w:val="%5)"/>
      <w:lvlJc w:val="left"/>
      <w:pPr>
        <w:pStyle w:val="1126"/>
        <w:ind w:left="2508" w:hanging="420"/>
        <w:tabs>
          <w:tab w:val="num" w:pos="2508" w:leader="none"/>
        </w:tabs>
      </w:pPr>
    </w:lvl>
    <w:lvl w:ilvl="5">
      <w:start w:val="1"/>
      <w:numFmt w:val="lowerRoman"/>
      <w:isLgl w:val="false"/>
      <w:suff w:val="tab"/>
      <w:lvlText w:val="%6."/>
      <w:lvlJc w:val="right"/>
      <w:pPr>
        <w:pStyle w:val="1126"/>
        <w:ind w:left="2928" w:hanging="420"/>
        <w:tabs>
          <w:tab w:val="num" w:pos="2928" w:leader="none"/>
        </w:tabs>
      </w:pPr>
    </w:lvl>
    <w:lvl w:ilvl="6">
      <w:start w:val="1"/>
      <w:numFmt w:val="decimal"/>
      <w:isLgl w:val="false"/>
      <w:suff w:val="tab"/>
      <w:lvlText w:val="%7."/>
      <w:lvlJc w:val="left"/>
      <w:pPr>
        <w:pStyle w:val="1126"/>
        <w:ind w:left="3348" w:hanging="420"/>
        <w:tabs>
          <w:tab w:val="num" w:pos="3348" w:leader="none"/>
        </w:tabs>
      </w:pPr>
    </w:lvl>
    <w:lvl w:ilvl="7">
      <w:start w:val="1"/>
      <w:numFmt w:val="lowerLetter"/>
      <w:isLgl w:val="false"/>
      <w:suff w:val="tab"/>
      <w:lvlText w:val="%8)"/>
      <w:lvlJc w:val="left"/>
      <w:pPr>
        <w:pStyle w:val="1126"/>
        <w:ind w:left="3768" w:hanging="420"/>
        <w:tabs>
          <w:tab w:val="num" w:pos="3768" w:leader="none"/>
        </w:tabs>
      </w:pPr>
    </w:lvl>
    <w:lvl w:ilvl="8">
      <w:start w:val="1"/>
      <w:numFmt w:val="lowerRoman"/>
      <w:isLgl w:val="false"/>
      <w:suff w:val="tab"/>
      <w:lvlText w:val="%9."/>
      <w:lvlJc w:val="right"/>
      <w:pPr>
        <w:pStyle w:val="1126"/>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9">
    <w:multiLevelType w:val="hybridMultilevel"/>
    <w:lvl w:ilvl="0">
      <w:start w:val="1"/>
      <w:numFmt w:val="decimal"/>
      <w:pStyle w:val="1243"/>
      <w:isLgl w:val="false"/>
      <w:suff w:val="tab"/>
      <w:lvlText w:val="%1)"/>
      <w:lvlJc w:val="left"/>
      <w:pPr>
        <w:pStyle w:val="1126"/>
        <w:ind w:left="420" w:hanging="420"/>
      </w:pPr>
    </w:lvl>
    <w:lvl w:ilvl="1">
      <w:start w:val="1"/>
      <w:numFmt w:val="lowerLetter"/>
      <w:isLgl w:val="false"/>
      <w:suff w:val="tab"/>
      <w:lvlText w:val="%2)"/>
      <w:lvlJc w:val="left"/>
      <w:pPr>
        <w:pStyle w:val="1126"/>
        <w:ind w:left="840" w:hanging="420"/>
      </w:p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abstractNum w:abstractNumId="10">
    <w:multiLevelType w:val="hybridMultilevel"/>
    <w:lvl w:ilvl="0">
      <w:start w:val="1"/>
      <w:numFmt w:val="decimal"/>
      <w:pStyle w:val="1341"/>
      <w:isLgl w:val="false"/>
      <w:suff w:val="tab"/>
      <w:lvlText w:val="%1"/>
      <w:lvlJc w:val="left"/>
      <w:pPr>
        <w:pStyle w:val="1126"/>
        <w:ind w:left="680" w:hanging="680"/>
      </w:pPr>
      <w:rPr>
        <w:rFonts w:hint="eastAsia" w:ascii="宋体" w:hAnsi="宋体" w:eastAsia="宋体"/>
      </w:rPr>
    </w:lvl>
    <w:lvl w:ilvl="1">
      <w:start w:val="1"/>
      <w:numFmt w:val="decimal"/>
      <w:pStyle w:val="1342"/>
      <w:isLgl w:val="false"/>
      <w:suff w:val="tab"/>
      <w:lvlText w:val="%1.%2"/>
      <w:lvlJc w:val="left"/>
      <w:pPr>
        <w:pStyle w:val="1126"/>
        <w:ind w:left="851" w:hanging="851"/>
      </w:pPr>
      <w:rPr>
        <w:rFonts w:hint="eastAsia" w:ascii="宋体" w:hAnsi="宋体" w:eastAsia="宋体"/>
        <w:color w:val="000000"/>
      </w:rPr>
    </w:lvl>
    <w:lvl w:ilvl="2">
      <w:start w:val="1"/>
      <w:numFmt w:val="decimal"/>
      <w:pStyle w:val="1343"/>
      <w:isLgl w:val="false"/>
      <w:suff w:val="tab"/>
      <w:lvlText w:val="%1.%2.%3"/>
      <w:lvlJc w:val="left"/>
      <w:pPr>
        <w:pStyle w:val="1126"/>
        <w:ind w:left="851" w:hanging="851"/>
      </w:pPr>
      <w:rPr>
        <w:rFonts w:hint="eastAsia"/>
      </w:rPr>
    </w:lvl>
    <w:lvl w:ilvl="3">
      <w:start w:val="1"/>
      <w:numFmt w:val="decimal"/>
      <w:isLgl w:val="false"/>
      <w:suff w:val="tab"/>
      <w:lvlText w:val="%1.%2.%3.%4"/>
      <w:lvlJc w:val="left"/>
      <w:pPr>
        <w:pStyle w:val="1126"/>
        <w:ind w:left="680" w:hanging="680"/>
      </w:pPr>
      <w:rPr>
        <w:rFonts w:hint="eastAsia"/>
      </w:rPr>
    </w:lvl>
    <w:lvl w:ilvl="4">
      <w:start w:val="1"/>
      <w:numFmt w:val="decimal"/>
      <w:isLgl w:val="false"/>
      <w:suff w:val="tab"/>
      <w:lvlText w:val="%1.%2.%3.%4.%5"/>
      <w:lvlJc w:val="left"/>
      <w:pPr>
        <w:pStyle w:val="1126"/>
        <w:ind w:left="680" w:hanging="680"/>
      </w:pPr>
      <w:rPr>
        <w:rFonts w:hint="eastAsia"/>
      </w:rPr>
    </w:lvl>
    <w:lvl w:ilvl="5">
      <w:start w:val="1"/>
      <w:numFmt w:val="decimal"/>
      <w:isLgl w:val="false"/>
      <w:suff w:val="tab"/>
      <w:lvlText w:val="%1.%2.%3.%4.%5.%6"/>
      <w:lvlJc w:val="left"/>
      <w:pPr>
        <w:pStyle w:val="1126"/>
        <w:ind w:left="680" w:hanging="680"/>
      </w:pPr>
      <w:rPr>
        <w:rFonts w:hint="eastAsia"/>
      </w:rPr>
    </w:lvl>
    <w:lvl w:ilvl="6">
      <w:start w:val="1"/>
      <w:numFmt w:val="decimal"/>
      <w:isLgl w:val="false"/>
      <w:suff w:val="tab"/>
      <w:lvlText w:val="%1.%2.%3.%4.%5.%6.%7"/>
      <w:lvlJc w:val="left"/>
      <w:pPr>
        <w:pStyle w:val="1126"/>
        <w:ind w:left="680" w:hanging="680"/>
      </w:pPr>
      <w:rPr>
        <w:rFonts w:hint="eastAsia"/>
      </w:rPr>
    </w:lvl>
    <w:lvl w:ilvl="7">
      <w:start w:val="1"/>
      <w:numFmt w:val="decimal"/>
      <w:isLgl w:val="false"/>
      <w:suff w:val="tab"/>
      <w:lvlText w:val="%1.%2.%3.%4.%5.%6.%7.%8"/>
      <w:lvlJc w:val="left"/>
      <w:pPr>
        <w:pStyle w:val="1126"/>
        <w:ind w:left="680" w:hanging="680"/>
      </w:pPr>
      <w:rPr>
        <w:rFonts w:hint="eastAsia"/>
      </w:rPr>
    </w:lvl>
    <w:lvl w:ilvl="8">
      <w:start w:val="1"/>
      <w:numFmt w:val="decimal"/>
      <w:isLgl w:val="false"/>
      <w:suff w:val="tab"/>
      <w:lvlText w:val="%1.%2.%3.%4.%5.%6.%7.%8.%9"/>
      <w:lvlJc w:val="left"/>
      <w:pPr>
        <w:pStyle w:val="1126"/>
        <w:ind w:left="680" w:hanging="680"/>
      </w:pPr>
      <w:rPr>
        <w:rFonts w:hint="eastAsia"/>
      </w:rPr>
    </w:lvl>
  </w:abstractNum>
  <w:abstractNum w:abstractNumId="11">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1126"/>
        <w:ind w:left="360" w:hanging="360"/>
      </w:pPr>
    </w:lvl>
    <w:lvl w:ilvl="1">
      <w:start w:val="1"/>
      <w:numFmt w:val="lowerLetter"/>
      <w:isLgl w:val="false"/>
      <w:suff w:val="tab"/>
      <w:lvlText w:val="%2)"/>
      <w:lvlJc w:val="left"/>
      <w:pPr>
        <w:pStyle w:val="1126"/>
        <w:ind w:left="840" w:hanging="420"/>
      </w:p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3"/>
  </w:num>
  <w:num w:numId="12">
    <w:abstractNumId w:val="11"/>
  </w:num>
  <w:num w:numId="13">
    <w:abstractNumId w:val="14"/>
  </w:num>
  <w:num w:numId="14">
    <w:abstractNumId w:val="1"/>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8">
    <w:name w:val="Heading 1"/>
    <w:basedOn w:val="1126"/>
    <w:next w:val="1126"/>
    <w:link w:val="949"/>
    <w:uiPriority w:val="9"/>
    <w:qFormat/>
    <w:pPr>
      <w:keepLines/>
      <w:keepNext/>
      <w:spacing w:before="480" w:after="200"/>
      <w:outlineLvl w:val="0"/>
    </w:pPr>
    <w:rPr>
      <w:rFonts w:ascii="Arial" w:hAnsi="Arial" w:eastAsia="Arial" w:cs="Arial"/>
      <w:sz w:val="40"/>
      <w:szCs w:val="40"/>
    </w:rPr>
  </w:style>
  <w:style w:type="character" w:styleId="949">
    <w:name w:val="Heading 1 Char"/>
    <w:link w:val="948"/>
    <w:uiPriority w:val="9"/>
    <w:rPr>
      <w:rFonts w:ascii="Arial" w:hAnsi="Arial" w:eastAsia="Arial" w:cs="Arial"/>
      <w:sz w:val="40"/>
      <w:szCs w:val="40"/>
    </w:rPr>
  </w:style>
  <w:style w:type="paragraph" w:styleId="950">
    <w:name w:val="Heading 2"/>
    <w:basedOn w:val="1126"/>
    <w:next w:val="1126"/>
    <w:link w:val="951"/>
    <w:uiPriority w:val="9"/>
    <w:unhideWhenUsed/>
    <w:qFormat/>
    <w:pPr>
      <w:keepLines/>
      <w:keepNext/>
      <w:spacing w:before="360" w:after="200"/>
      <w:outlineLvl w:val="1"/>
    </w:pPr>
    <w:rPr>
      <w:rFonts w:ascii="Arial" w:hAnsi="Arial" w:eastAsia="Arial" w:cs="Arial"/>
      <w:sz w:val="34"/>
    </w:rPr>
  </w:style>
  <w:style w:type="character" w:styleId="951">
    <w:name w:val="Heading 2 Char"/>
    <w:link w:val="950"/>
    <w:uiPriority w:val="9"/>
    <w:rPr>
      <w:rFonts w:ascii="Arial" w:hAnsi="Arial" w:eastAsia="Arial" w:cs="Arial"/>
      <w:sz w:val="34"/>
    </w:rPr>
  </w:style>
  <w:style w:type="paragraph" w:styleId="952">
    <w:name w:val="Heading 3"/>
    <w:basedOn w:val="1126"/>
    <w:next w:val="1126"/>
    <w:link w:val="953"/>
    <w:uiPriority w:val="9"/>
    <w:unhideWhenUsed/>
    <w:qFormat/>
    <w:pPr>
      <w:keepLines/>
      <w:keepNext/>
      <w:spacing w:before="320" w:after="200"/>
      <w:outlineLvl w:val="2"/>
    </w:pPr>
    <w:rPr>
      <w:rFonts w:ascii="Arial" w:hAnsi="Arial" w:eastAsia="Arial" w:cs="Arial"/>
      <w:sz w:val="30"/>
      <w:szCs w:val="30"/>
    </w:rPr>
  </w:style>
  <w:style w:type="character" w:styleId="953">
    <w:name w:val="Heading 3 Char"/>
    <w:link w:val="952"/>
    <w:uiPriority w:val="9"/>
    <w:rPr>
      <w:rFonts w:ascii="Arial" w:hAnsi="Arial" w:eastAsia="Arial" w:cs="Arial"/>
      <w:sz w:val="30"/>
      <w:szCs w:val="30"/>
    </w:rPr>
  </w:style>
  <w:style w:type="paragraph" w:styleId="954">
    <w:name w:val="Heading 4"/>
    <w:basedOn w:val="1126"/>
    <w:next w:val="1126"/>
    <w:link w:val="955"/>
    <w:uiPriority w:val="9"/>
    <w:unhideWhenUsed/>
    <w:qFormat/>
    <w:pPr>
      <w:keepLines/>
      <w:keepNext/>
      <w:spacing w:before="320" w:after="200"/>
      <w:outlineLvl w:val="3"/>
    </w:pPr>
    <w:rPr>
      <w:rFonts w:ascii="Arial" w:hAnsi="Arial" w:eastAsia="Arial" w:cs="Arial"/>
      <w:b/>
      <w:bCs/>
      <w:sz w:val="26"/>
      <w:szCs w:val="26"/>
    </w:rPr>
  </w:style>
  <w:style w:type="character" w:styleId="955">
    <w:name w:val="Heading 4 Char"/>
    <w:link w:val="954"/>
    <w:uiPriority w:val="9"/>
    <w:rPr>
      <w:rFonts w:ascii="Arial" w:hAnsi="Arial" w:eastAsia="Arial" w:cs="Arial"/>
      <w:b/>
      <w:bCs/>
      <w:sz w:val="26"/>
      <w:szCs w:val="26"/>
    </w:rPr>
  </w:style>
  <w:style w:type="paragraph" w:styleId="956">
    <w:name w:val="Heading 5"/>
    <w:basedOn w:val="1126"/>
    <w:next w:val="1126"/>
    <w:link w:val="957"/>
    <w:uiPriority w:val="9"/>
    <w:unhideWhenUsed/>
    <w:qFormat/>
    <w:pPr>
      <w:keepLines/>
      <w:keepNext/>
      <w:spacing w:before="320" w:after="200"/>
      <w:outlineLvl w:val="4"/>
    </w:pPr>
    <w:rPr>
      <w:rFonts w:ascii="Arial" w:hAnsi="Arial" w:eastAsia="Arial" w:cs="Arial"/>
      <w:b/>
      <w:bCs/>
      <w:sz w:val="24"/>
      <w:szCs w:val="24"/>
    </w:rPr>
  </w:style>
  <w:style w:type="character" w:styleId="957">
    <w:name w:val="Heading 5 Char"/>
    <w:link w:val="956"/>
    <w:uiPriority w:val="9"/>
    <w:rPr>
      <w:rFonts w:ascii="Arial" w:hAnsi="Arial" w:eastAsia="Arial" w:cs="Arial"/>
      <w:b/>
      <w:bCs/>
      <w:sz w:val="24"/>
      <w:szCs w:val="24"/>
    </w:rPr>
  </w:style>
  <w:style w:type="paragraph" w:styleId="958">
    <w:name w:val="Heading 6"/>
    <w:basedOn w:val="1126"/>
    <w:next w:val="1126"/>
    <w:link w:val="959"/>
    <w:uiPriority w:val="9"/>
    <w:unhideWhenUsed/>
    <w:qFormat/>
    <w:pPr>
      <w:keepLines/>
      <w:keepNext/>
      <w:spacing w:before="320" w:after="200"/>
      <w:outlineLvl w:val="5"/>
    </w:pPr>
    <w:rPr>
      <w:rFonts w:ascii="Arial" w:hAnsi="Arial" w:eastAsia="Arial" w:cs="Arial"/>
      <w:b/>
      <w:bCs/>
      <w:sz w:val="22"/>
      <w:szCs w:val="22"/>
    </w:rPr>
  </w:style>
  <w:style w:type="character" w:styleId="959">
    <w:name w:val="Heading 6 Char"/>
    <w:link w:val="958"/>
    <w:uiPriority w:val="9"/>
    <w:rPr>
      <w:rFonts w:ascii="Arial" w:hAnsi="Arial" w:eastAsia="Arial" w:cs="Arial"/>
      <w:b/>
      <w:bCs/>
      <w:sz w:val="22"/>
      <w:szCs w:val="22"/>
    </w:rPr>
  </w:style>
  <w:style w:type="paragraph" w:styleId="960">
    <w:name w:val="Heading 7"/>
    <w:basedOn w:val="1126"/>
    <w:next w:val="1126"/>
    <w:link w:val="961"/>
    <w:uiPriority w:val="9"/>
    <w:unhideWhenUsed/>
    <w:qFormat/>
    <w:pPr>
      <w:keepLines/>
      <w:keepNext/>
      <w:spacing w:before="320" w:after="200"/>
      <w:outlineLvl w:val="6"/>
    </w:pPr>
    <w:rPr>
      <w:rFonts w:ascii="Arial" w:hAnsi="Arial" w:eastAsia="Arial" w:cs="Arial"/>
      <w:b/>
      <w:bCs/>
      <w:i/>
      <w:iCs/>
      <w:sz w:val="22"/>
      <w:szCs w:val="22"/>
    </w:rPr>
  </w:style>
  <w:style w:type="character" w:styleId="961">
    <w:name w:val="Heading 7 Char"/>
    <w:link w:val="960"/>
    <w:uiPriority w:val="9"/>
    <w:rPr>
      <w:rFonts w:ascii="Arial" w:hAnsi="Arial" w:eastAsia="Arial" w:cs="Arial"/>
      <w:b/>
      <w:bCs/>
      <w:i/>
      <w:iCs/>
      <w:sz w:val="22"/>
      <w:szCs w:val="22"/>
    </w:rPr>
  </w:style>
  <w:style w:type="paragraph" w:styleId="962">
    <w:name w:val="Heading 8"/>
    <w:basedOn w:val="1126"/>
    <w:next w:val="1126"/>
    <w:link w:val="963"/>
    <w:uiPriority w:val="9"/>
    <w:unhideWhenUsed/>
    <w:qFormat/>
    <w:pPr>
      <w:keepLines/>
      <w:keepNext/>
      <w:spacing w:before="320" w:after="200"/>
      <w:outlineLvl w:val="7"/>
    </w:pPr>
    <w:rPr>
      <w:rFonts w:ascii="Arial" w:hAnsi="Arial" w:eastAsia="Arial" w:cs="Arial"/>
      <w:i/>
      <w:iCs/>
      <w:sz w:val="22"/>
      <w:szCs w:val="22"/>
    </w:rPr>
  </w:style>
  <w:style w:type="character" w:styleId="963">
    <w:name w:val="Heading 8 Char"/>
    <w:link w:val="962"/>
    <w:uiPriority w:val="9"/>
    <w:rPr>
      <w:rFonts w:ascii="Arial" w:hAnsi="Arial" w:eastAsia="Arial" w:cs="Arial"/>
      <w:i/>
      <w:iCs/>
      <w:sz w:val="22"/>
      <w:szCs w:val="22"/>
    </w:rPr>
  </w:style>
  <w:style w:type="paragraph" w:styleId="964">
    <w:name w:val="Heading 9"/>
    <w:basedOn w:val="1126"/>
    <w:next w:val="1126"/>
    <w:link w:val="965"/>
    <w:uiPriority w:val="9"/>
    <w:unhideWhenUsed/>
    <w:qFormat/>
    <w:pPr>
      <w:keepLines/>
      <w:keepNext/>
      <w:spacing w:before="320" w:after="200"/>
      <w:outlineLvl w:val="8"/>
    </w:pPr>
    <w:rPr>
      <w:rFonts w:ascii="Arial" w:hAnsi="Arial" w:eastAsia="Arial" w:cs="Arial"/>
      <w:i/>
      <w:iCs/>
      <w:sz w:val="21"/>
      <w:szCs w:val="21"/>
    </w:rPr>
  </w:style>
  <w:style w:type="character" w:styleId="965">
    <w:name w:val="Heading 9 Char"/>
    <w:link w:val="964"/>
    <w:uiPriority w:val="9"/>
    <w:rPr>
      <w:rFonts w:ascii="Arial" w:hAnsi="Arial" w:eastAsia="Arial" w:cs="Arial"/>
      <w:i/>
      <w:iCs/>
      <w:sz w:val="21"/>
      <w:szCs w:val="21"/>
    </w:rPr>
  </w:style>
  <w:style w:type="paragraph" w:styleId="966">
    <w:name w:val="List Paragraph"/>
    <w:basedOn w:val="1126"/>
    <w:uiPriority w:val="34"/>
    <w:qFormat/>
    <w:pPr>
      <w:contextualSpacing/>
      <w:ind w:left="720"/>
    </w:pPr>
  </w:style>
  <w:style w:type="paragraph" w:styleId="967">
    <w:name w:val="No Spacing"/>
    <w:uiPriority w:val="1"/>
    <w:qFormat/>
    <w:pPr>
      <w:spacing w:before="0" w:after="0" w:line="240" w:lineRule="auto"/>
    </w:pPr>
  </w:style>
  <w:style w:type="paragraph" w:styleId="968">
    <w:name w:val="Title"/>
    <w:basedOn w:val="1126"/>
    <w:next w:val="1126"/>
    <w:link w:val="969"/>
    <w:uiPriority w:val="10"/>
    <w:qFormat/>
    <w:pPr>
      <w:contextualSpacing/>
      <w:spacing w:before="300" w:after="200"/>
    </w:pPr>
    <w:rPr>
      <w:sz w:val="48"/>
      <w:szCs w:val="48"/>
    </w:rPr>
  </w:style>
  <w:style w:type="character" w:styleId="969">
    <w:name w:val="Title Char"/>
    <w:link w:val="968"/>
    <w:uiPriority w:val="10"/>
    <w:rPr>
      <w:sz w:val="48"/>
      <w:szCs w:val="48"/>
    </w:rPr>
  </w:style>
  <w:style w:type="paragraph" w:styleId="970">
    <w:name w:val="Subtitle"/>
    <w:basedOn w:val="1126"/>
    <w:next w:val="1126"/>
    <w:link w:val="971"/>
    <w:uiPriority w:val="11"/>
    <w:qFormat/>
    <w:pPr>
      <w:spacing w:before="200" w:after="200"/>
    </w:pPr>
    <w:rPr>
      <w:sz w:val="24"/>
      <w:szCs w:val="24"/>
    </w:rPr>
  </w:style>
  <w:style w:type="character" w:styleId="971">
    <w:name w:val="Subtitle Char"/>
    <w:link w:val="970"/>
    <w:uiPriority w:val="11"/>
    <w:rPr>
      <w:sz w:val="24"/>
      <w:szCs w:val="24"/>
    </w:rPr>
  </w:style>
  <w:style w:type="paragraph" w:styleId="972">
    <w:name w:val="Quote"/>
    <w:basedOn w:val="1126"/>
    <w:next w:val="1126"/>
    <w:link w:val="973"/>
    <w:uiPriority w:val="29"/>
    <w:qFormat/>
    <w:pPr>
      <w:ind w:left="720" w:right="720"/>
    </w:pPr>
    <w:rPr>
      <w:i/>
    </w:rPr>
  </w:style>
  <w:style w:type="character" w:styleId="973">
    <w:name w:val="Quote Char"/>
    <w:link w:val="972"/>
    <w:uiPriority w:val="29"/>
    <w:rPr>
      <w:i/>
    </w:rPr>
  </w:style>
  <w:style w:type="paragraph" w:styleId="974">
    <w:name w:val="Intense Quote"/>
    <w:basedOn w:val="1126"/>
    <w:next w:val="1126"/>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name w:val="Intense Quote Char"/>
    <w:link w:val="974"/>
    <w:uiPriority w:val="30"/>
    <w:rPr>
      <w:i/>
    </w:rPr>
  </w:style>
  <w:style w:type="paragraph" w:styleId="976">
    <w:name w:val="Header"/>
    <w:basedOn w:val="1126"/>
    <w:link w:val="977"/>
    <w:uiPriority w:val="99"/>
    <w:unhideWhenUsed/>
    <w:pPr>
      <w:spacing w:after="0" w:line="240" w:lineRule="auto"/>
      <w:tabs>
        <w:tab w:val="center" w:pos="7143" w:leader="none"/>
        <w:tab w:val="right" w:pos="14287" w:leader="none"/>
      </w:tabs>
    </w:pPr>
  </w:style>
  <w:style w:type="character" w:styleId="977">
    <w:name w:val="Header Char"/>
    <w:link w:val="976"/>
    <w:uiPriority w:val="99"/>
  </w:style>
  <w:style w:type="paragraph" w:styleId="978">
    <w:name w:val="Footer"/>
    <w:basedOn w:val="1126"/>
    <w:link w:val="981"/>
    <w:uiPriority w:val="99"/>
    <w:unhideWhenUsed/>
    <w:pPr>
      <w:spacing w:after="0" w:line="240" w:lineRule="auto"/>
      <w:tabs>
        <w:tab w:val="center" w:pos="7143" w:leader="none"/>
        <w:tab w:val="right" w:pos="14287" w:leader="none"/>
      </w:tabs>
    </w:pPr>
  </w:style>
  <w:style w:type="character" w:styleId="979">
    <w:name w:val="Footer Char"/>
    <w:link w:val="978"/>
    <w:uiPriority w:val="99"/>
  </w:style>
  <w:style w:type="paragraph" w:styleId="980">
    <w:name w:val="Caption"/>
    <w:basedOn w:val="1126"/>
    <w:next w:val="1126"/>
    <w:uiPriority w:val="35"/>
    <w:semiHidden/>
    <w:unhideWhenUsed/>
    <w:qFormat/>
    <w:pPr>
      <w:spacing w:line="276" w:lineRule="auto"/>
    </w:pPr>
    <w:rPr>
      <w:b/>
      <w:bCs/>
      <w:color w:val="4f81bd" w:themeColor="accent1"/>
      <w:sz w:val="18"/>
      <w:szCs w:val="18"/>
    </w:rPr>
  </w:style>
  <w:style w:type="character" w:styleId="981">
    <w:name w:val="Caption Char"/>
    <w:basedOn w:val="980"/>
    <w:link w:val="978"/>
    <w:uiPriority w:val="99"/>
  </w:style>
  <w:style w:type="table" w:styleId="9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8">
    <w:name w:val="Hyperlink"/>
    <w:uiPriority w:val="99"/>
    <w:unhideWhenUsed/>
    <w:rPr>
      <w:color w:val="0000ff" w:themeColor="hyperlink"/>
      <w:u w:val="single"/>
    </w:rPr>
  </w:style>
  <w:style w:type="paragraph" w:styleId="1109">
    <w:name w:val="footnote text"/>
    <w:basedOn w:val="1126"/>
    <w:link w:val="1110"/>
    <w:uiPriority w:val="99"/>
    <w:semiHidden/>
    <w:unhideWhenUsed/>
    <w:pPr>
      <w:spacing w:after="40" w:line="240" w:lineRule="auto"/>
    </w:pPr>
    <w:rPr>
      <w:sz w:val="18"/>
    </w:rPr>
  </w:style>
  <w:style w:type="character" w:styleId="1110">
    <w:name w:val="Footnote Text Char"/>
    <w:link w:val="1109"/>
    <w:uiPriority w:val="99"/>
    <w:rPr>
      <w:sz w:val="18"/>
    </w:rPr>
  </w:style>
  <w:style w:type="character" w:styleId="1111">
    <w:name w:val="footnote reference"/>
    <w:uiPriority w:val="99"/>
    <w:unhideWhenUsed/>
    <w:rPr>
      <w:vertAlign w:val="superscript"/>
    </w:rPr>
  </w:style>
  <w:style w:type="paragraph" w:styleId="1112">
    <w:name w:val="endnote text"/>
    <w:basedOn w:val="1126"/>
    <w:link w:val="1113"/>
    <w:uiPriority w:val="99"/>
    <w:semiHidden/>
    <w:unhideWhenUsed/>
    <w:pPr>
      <w:spacing w:after="0" w:line="240" w:lineRule="auto"/>
    </w:pPr>
    <w:rPr>
      <w:sz w:val="20"/>
    </w:rPr>
  </w:style>
  <w:style w:type="character" w:styleId="1113">
    <w:name w:val="Endnote Text Char"/>
    <w:link w:val="1112"/>
    <w:uiPriority w:val="99"/>
    <w:rPr>
      <w:sz w:val="20"/>
    </w:rPr>
  </w:style>
  <w:style w:type="character" w:styleId="1114">
    <w:name w:val="endnote reference"/>
    <w:uiPriority w:val="99"/>
    <w:semiHidden/>
    <w:unhideWhenUsed/>
    <w:rPr>
      <w:vertAlign w:val="superscript"/>
    </w:rPr>
  </w:style>
  <w:style w:type="paragraph" w:styleId="1115">
    <w:name w:val="toc 1"/>
    <w:basedOn w:val="1126"/>
    <w:next w:val="1126"/>
    <w:uiPriority w:val="39"/>
    <w:unhideWhenUsed/>
    <w:pPr>
      <w:ind w:left="0" w:right="0" w:firstLine="0"/>
      <w:spacing w:after="57"/>
    </w:pPr>
  </w:style>
  <w:style w:type="paragraph" w:styleId="1116">
    <w:name w:val="toc 2"/>
    <w:basedOn w:val="1126"/>
    <w:next w:val="1126"/>
    <w:uiPriority w:val="39"/>
    <w:unhideWhenUsed/>
    <w:pPr>
      <w:ind w:left="283" w:right="0" w:firstLine="0"/>
      <w:spacing w:after="57"/>
    </w:pPr>
  </w:style>
  <w:style w:type="paragraph" w:styleId="1117">
    <w:name w:val="toc 3"/>
    <w:basedOn w:val="1126"/>
    <w:next w:val="1126"/>
    <w:uiPriority w:val="39"/>
    <w:unhideWhenUsed/>
    <w:pPr>
      <w:ind w:left="567" w:right="0" w:firstLine="0"/>
      <w:spacing w:after="57"/>
    </w:pPr>
  </w:style>
  <w:style w:type="paragraph" w:styleId="1118">
    <w:name w:val="toc 4"/>
    <w:basedOn w:val="1126"/>
    <w:next w:val="1126"/>
    <w:uiPriority w:val="39"/>
    <w:unhideWhenUsed/>
    <w:pPr>
      <w:ind w:left="850" w:right="0" w:firstLine="0"/>
      <w:spacing w:after="57"/>
    </w:pPr>
  </w:style>
  <w:style w:type="paragraph" w:styleId="1119">
    <w:name w:val="toc 5"/>
    <w:basedOn w:val="1126"/>
    <w:next w:val="1126"/>
    <w:uiPriority w:val="39"/>
    <w:unhideWhenUsed/>
    <w:pPr>
      <w:ind w:left="1134" w:right="0" w:firstLine="0"/>
      <w:spacing w:after="57"/>
    </w:pPr>
  </w:style>
  <w:style w:type="paragraph" w:styleId="1120">
    <w:name w:val="toc 6"/>
    <w:basedOn w:val="1126"/>
    <w:next w:val="1126"/>
    <w:uiPriority w:val="39"/>
    <w:unhideWhenUsed/>
    <w:pPr>
      <w:ind w:left="1417" w:right="0" w:firstLine="0"/>
      <w:spacing w:after="57"/>
    </w:pPr>
  </w:style>
  <w:style w:type="paragraph" w:styleId="1121">
    <w:name w:val="toc 7"/>
    <w:basedOn w:val="1126"/>
    <w:next w:val="1126"/>
    <w:uiPriority w:val="39"/>
    <w:unhideWhenUsed/>
    <w:pPr>
      <w:ind w:left="1701" w:right="0" w:firstLine="0"/>
      <w:spacing w:after="57"/>
    </w:pPr>
  </w:style>
  <w:style w:type="paragraph" w:styleId="1122">
    <w:name w:val="toc 8"/>
    <w:basedOn w:val="1126"/>
    <w:next w:val="1126"/>
    <w:uiPriority w:val="39"/>
    <w:unhideWhenUsed/>
    <w:pPr>
      <w:ind w:left="1984" w:right="0" w:firstLine="0"/>
      <w:spacing w:after="57"/>
    </w:pPr>
  </w:style>
  <w:style w:type="paragraph" w:styleId="1123">
    <w:name w:val="toc 9"/>
    <w:basedOn w:val="1126"/>
    <w:next w:val="1126"/>
    <w:uiPriority w:val="39"/>
    <w:unhideWhenUsed/>
    <w:pPr>
      <w:ind w:left="2268" w:right="0" w:firstLine="0"/>
      <w:spacing w:after="57"/>
    </w:pPr>
  </w:style>
  <w:style w:type="paragraph" w:styleId="1124">
    <w:name w:val="TOC Heading"/>
    <w:uiPriority w:val="39"/>
    <w:unhideWhenUsed/>
  </w:style>
  <w:style w:type="paragraph" w:styleId="1125">
    <w:name w:val="table of figures"/>
    <w:basedOn w:val="1126"/>
    <w:next w:val="1126"/>
    <w:uiPriority w:val="99"/>
    <w:unhideWhenUsed/>
    <w:pPr>
      <w:spacing w:after="0" w:afterAutospacing="0"/>
    </w:pPr>
  </w:style>
  <w:style w:type="paragraph" w:styleId="1126" w:default="1">
    <w:name w:val="Normal"/>
    <w:next w:val="1126"/>
    <w:link w:val="1126"/>
    <w:qFormat/>
    <w:pPr>
      <w:jc w:val="both"/>
      <w:widowControl w:val="off"/>
    </w:pPr>
    <w:rPr>
      <w:sz w:val="21"/>
      <w:szCs w:val="24"/>
      <w:lang w:val="en-US" w:eastAsia="zh-CN" w:bidi="ar-SA"/>
    </w:rPr>
  </w:style>
  <w:style w:type="paragraph" w:styleId="1127">
    <w:name w:val="标题 1"/>
    <w:basedOn w:val="1126"/>
    <w:next w:val="1126"/>
    <w:link w:val="1138"/>
    <w:qFormat/>
    <w:pPr>
      <w:jc w:val="center"/>
      <w:keepLines/>
      <w:keepNext/>
      <w:spacing w:before="240" w:after="120" w:line="300" w:lineRule="auto"/>
      <w:outlineLvl w:val="0"/>
    </w:pPr>
    <w:rPr>
      <w:rFonts w:ascii="宋体" w:hAnsi="Times New Roman" w:eastAsia="宋体" w:cs="Times New Roman"/>
      <w:b/>
      <w:sz w:val="32"/>
      <w:szCs w:val="20"/>
    </w:rPr>
  </w:style>
  <w:style w:type="paragraph" w:styleId="1128">
    <w:name w:val="标题 2"/>
    <w:basedOn w:val="1126"/>
    <w:next w:val="1128"/>
    <w:link w:val="1139"/>
    <w:qFormat/>
    <w:pPr>
      <w:ind w:left="0" w:right="0"/>
      <w:jc w:val="center"/>
      <w:keepLines/>
      <w:keepNext/>
      <w:spacing w:before="120" w:after="0" w:line="300" w:lineRule="auto"/>
      <w:widowControl w:val="off"/>
      <w:outlineLvl w:val="1"/>
    </w:pPr>
    <w:rPr>
      <w:rFonts w:ascii="Arial" w:hAnsi="Arial" w:eastAsia="黑体" w:cs="Arial"/>
      <w:b/>
      <w:bCs/>
      <w:sz w:val="30"/>
      <w:szCs w:val="20"/>
      <w:lang w:val="en-US" w:eastAsia="zh-CN" w:bidi="ar-SA"/>
    </w:rPr>
  </w:style>
  <w:style w:type="paragraph" w:styleId="1129">
    <w:name w:val="标题 3"/>
    <w:basedOn w:val="1126"/>
    <w:next w:val="1129"/>
    <w:link w:val="1140"/>
    <w:qFormat/>
    <w:pPr>
      <w:ind w:left="0" w:right="0"/>
      <w:jc w:val="left"/>
      <w:keepLines/>
      <w:keepNext/>
      <w:spacing w:before="360" w:after="120"/>
      <w:widowControl w:val="off"/>
      <w:outlineLvl w:val="2"/>
    </w:pPr>
    <w:rPr>
      <w:rFonts w:ascii="宋体" w:hAnsi="Times New Roman" w:eastAsia="宋体" w:cs="宋体"/>
      <w:b/>
      <w:bCs/>
      <w:sz w:val="24"/>
      <w:szCs w:val="20"/>
      <w:u w:val="single"/>
      <w:lang w:val="en-US" w:eastAsia="zh-CN" w:bidi="ar-SA"/>
    </w:rPr>
  </w:style>
  <w:style w:type="paragraph" w:styleId="1130">
    <w:name w:val="标题 4"/>
    <w:basedOn w:val="1126"/>
    <w:next w:val="1126"/>
    <w:link w:val="1141"/>
    <w:qFormat/>
    <w:pPr>
      <w:keepLines/>
      <w:keepNext/>
      <w:spacing w:before="280" w:after="290" w:line="376" w:lineRule="atLeast"/>
      <w:outlineLvl w:val="3"/>
    </w:pPr>
    <w:rPr>
      <w:rFonts w:ascii="Arial" w:hAnsi="Arial" w:eastAsia="黑体" w:cs="Times New Roman"/>
      <w:b/>
      <w:sz w:val="28"/>
      <w:szCs w:val="20"/>
    </w:rPr>
  </w:style>
  <w:style w:type="paragraph" w:styleId="1131">
    <w:name w:val="标题 5"/>
    <w:basedOn w:val="1126"/>
    <w:next w:val="1126"/>
    <w:link w:val="1142"/>
    <w:qFormat/>
    <w:pPr>
      <w:keepLines/>
      <w:keepNext/>
      <w:spacing w:before="280" w:after="290" w:line="376" w:lineRule="atLeast"/>
      <w:outlineLvl w:val="4"/>
    </w:pPr>
    <w:rPr>
      <w:rFonts w:ascii="Times New Roman" w:hAnsi="Times New Roman" w:eastAsia="宋体" w:cs="Times New Roman"/>
      <w:b/>
      <w:sz w:val="28"/>
      <w:szCs w:val="20"/>
    </w:rPr>
  </w:style>
  <w:style w:type="paragraph" w:styleId="1132">
    <w:name w:val="标题 6"/>
    <w:basedOn w:val="1126"/>
    <w:next w:val="1126"/>
    <w:link w:val="1143"/>
    <w:qFormat/>
    <w:pPr>
      <w:keepLines/>
      <w:keepNext/>
      <w:spacing w:before="240" w:after="64" w:line="320" w:lineRule="atLeast"/>
      <w:outlineLvl w:val="5"/>
    </w:pPr>
    <w:rPr>
      <w:rFonts w:ascii="Arial" w:hAnsi="Arial" w:eastAsia="黑体" w:cs="Times New Roman"/>
      <w:b/>
      <w:sz w:val="24"/>
      <w:szCs w:val="20"/>
    </w:rPr>
  </w:style>
  <w:style w:type="paragraph" w:styleId="1133">
    <w:name w:val="标题 7"/>
    <w:basedOn w:val="1126"/>
    <w:next w:val="1126"/>
    <w:link w:val="1144"/>
    <w:qFormat/>
    <w:pPr>
      <w:keepLines/>
      <w:keepNext/>
      <w:spacing w:before="240" w:after="64" w:line="320" w:lineRule="atLeast"/>
      <w:outlineLvl w:val="6"/>
    </w:pPr>
    <w:rPr>
      <w:rFonts w:ascii="Times New Roman" w:hAnsi="Times New Roman" w:eastAsia="宋体" w:cs="Times New Roman"/>
      <w:b/>
      <w:sz w:val="24"/>
      <w:szCs w:val="20"/>
    </w:rPr>
  </w:style>
  <w:style w:type="paragraph" w:styleId="1134">
    <w:name w:val="标题 8"/>
    <w:basedOn w:val="1126"/>
    <w:next w:val="1126"/>
    <w:link w:val="1145"/>
    <w:qFormat/>
    <w:pPr>
      <w:keepLines/>
      <w:keepNext/>
      <w:spacing w:before="240" w:after="64" w:line="320" w:lineRule="atLeast"/>
      <w:outlineLvl w:val="7"/>
    </w:pPr>
    <w:rPr>
      <w:rFonts w:ascii="Arial" w:hAnsi="Arial" w:eastAsia="黑体" w:cs="Times New Roman"/>
      <w:sz w:val="24"/>
      <w:szCs w:val="20"/>
    </w:rPr>
  </w:style>
  <w:style w:type="paragraph" w:styleId="1135">
    <w:name w:val="标题 9"/>
    <w:basedOn w:val="1126"/>
    <w:next w:val="1126"/>
    <w:link w:val="1146"/>
    <w:qFormat/>
    <w:pPr>
      <w:keepLines/>
      <w:keepNext/>
      <w:spacing w:before="240" w:after="64" w:line="320" w:lineRule="atLeast"/>
      <w:outlineLvl w:val="8"/>
    </w:pPr>
    <w:rPr>
      <w:rFonts w:ascii="Arial" w:hAnsi="Arial" w:eastAsia="黑体" w:cs="Times New Roman"/>
      <w:szCs w:val="20"/>
    </w:rPr>
  </w:style>
  <w:style w:type="character" w:styleId="1136">
    <w:name w:val="默认段落字体"/>
    <w:next w:val="1136"/>
    <w:link w:val="1126"/>
    <w:rPr>
      <w:rFonts w:ascii="Times New Roman" w:hAnsi="Times New Roman" w:eastAsia="宋体" w:cs="Times New Roman"/>
    </w:rPr>
  </w:style>
  <w:style w:type="table" w:styleId="1137">
    <w:name w:val="普通表格"/>
    <w:next w:val="1137"/>
    <w:link w:val="1126"/>
    <w:rPr>
      <w:rFonts w:ascii="Times New Roman" w:hAnsi="Times New Roman" w:eastAsia="宋体" w:cs="Times New Roman"/>
    </w:rPr>
    <w:tblPr/>
  </w:style>
  <w:style w:type="character" w:styleId="1138">
    <w:name w:val="标题 1 字符"/>
    <w:next w:val="1138"/>
    <w:link w:val="1127"/>
    <w:rPr>
      <w:rFonts w:ascii="宋体" w:hAnsi="Times New Roman" w:eastAsia="宋体" w:cs="Times New Roman"/>
      <w:b/>
      <w:sz w:val="32"/>
    </w:rPr>
  </w:style>
  <w:style w:type="character" w:styleId="1139">
    <w:name w:val="标题 2 字符"/>
    <w:next w:val="1139"/>
    <w:link w:val="1128"/>
    <w:rPr>
      <w:rFonts w:ascii="Arial" w:hAnsi="Arial" w:eastAsia="黑体" w:cs="Times New Roman"/>
      <w:b/>
      <w:sz w:val="30"/>
      <w:lang w:val="en-US" w:eastAsia="zh-CN" w:bidi="ar-SA"/>
    </w:rPr>
  </w:style>
  <w:style w:type="character" w:styleId="1140">
    <w:name w:val="标题 3 字符"/>
    <w:next w:val="1140"/>
    <w:link w:val="1129"/>
    <w:rPr>
      <w:rFonts w:ascii="宋体" w:hAnsi="Times New Roman" w:eastAsia="宋体" w:cs="Times New Roman"/>
      <w:b/>
      <w:sz w:val="24"/>
      <w:u w:val="single"/>
      <w:lang w:val="en-US" w:eastAsia="zh-CN" w:bidi="ar-SA"/>
    </w:rPr>
  </w:style>
  <w:style w:type="character" w:styleId="1141">
    <w:name w:val="标题 4 字符"/>
    <w:next w:val="1141"/>
    <w:link w:val="1130"/>
    <w:rPr>
      <w:rFonts w:ascii="Arial" w:hAnsi="Arial" w:eastAsia="黑体" w:cs="Times New Roman"/>
      <w:b/>
      <w:sz w:val="28"/>
    </w:rPr>
  </w:style>
  <w:style w:type="character" w:styleId="1142">
    <w:name w:val="标题 5 字符"/>
    <w:next w:val="1142"/>
    <w:link w:val="1131"/>
    <w:rPr>
      <w:rFonts w:ascii="Times New Roman" w:hAnsi="Times New Roman" w:eastAsia="宋体" w:cs="Times New Roman"/>
      <w:b/>
      <w:sz w:val="28"/>
    </w:rPr>
  </w:style>
  <w:style w:type="character" w:styleId="1143">
    <w:name w:val="标题 6 字符"/>
    <w:next w:val="1143"/>
    <w:link w:val="1132"/>
    <w:rPr>
      <w:rFonts w:ascii="Arial" w:hAnsi="Arial" w:eastAsia="黑体" w:cs="Times New Roman"/>
      <w:b/>
      <w:sz w:val="24"/>
    </w:rPr>
  </w:style>
  <w:style w:type="character" w:styleId="1144">
    <w:name w:val="标题 7 字符"/>
    <w:next w:val="1144"/>
    <w:link w:val="1133"/>
    <w:rPr>
      <w:rFonts w:ascii="Times New Roman" w:hAnsi="Times New Roman" w:eastAsia="宋体" w:cs="Times New Roman"/>
      <w:b/>
      <w:sz w:val="24"/>
    </w:rPr>
  </w:style>
  <w:style w:type="character" w:styleId="1145">
    <w:name w:val="标题 8 字符"/>
    <w:next w:val="1145"/>
    <w:link w:val="1134"/>
    <w:rPr>
      <w:rFonts w:ascii="Arial" w:hAnsi="Arial" w:eastAsia="黑体" w:cs="Times New Roman"/>
      <w:sz w:val="24"/>
    </w:rPr>
  </w:style>
  <w:style w:type="character" w:styleId="1146">
    <w:name w:val="标题 9 字符"/>
    <w:next w:val="1146"/>
    <w:link w:val="1135"/>
    <w:rPr>
      <w:rFonts w:ascii="Arial" w:hAnsi="Arial" w:eastAsia="黑体" w:cs="Times New Roman"/>
      <w:sz w:val="21"/>
    </w:rPr>
  </w:style>
  <w:style w:type="paragraph" w:styleId="1147">
    <w:name w:val="目录 7"/>
    <w:basedOn w:val="1126"/>
    <w:next w:val="1126"/>
    <w:link w:val="1126"/>
    <w:pPr>
      <w:ind w:left="2520"/>
    </w:pPr>
    <w:rPr>
      <w:rFonts w:ascii="Times New Roman" w:hAnsi="Times New Roman" w:eastAsia="宋体" w:cs="Times New Roman"/>
    </w:rPr>
  </w:style>
  <w:style w:type="paragraph" w:styleId="1148">
    <w:name w:val="正文缩进"/>
    <w:basedOn w:val="1126"/>
    <w:next w:val="1148"/>
    <w:link w:val="1149"/>
    <w:pPr>
      <w:ind w:firstLine="420"/>
      <w:jc w:val="left"/>
      <w:spacing w:after="0"/>
      <w:widowControl w:val="off"/>
    </w:pPr>
    <w:rPr>
      <w:rFonts w:ascii="宋体" w:hAnsi="Times New Roman" w:eastAsia="宋体" w:cs="宋体"/>
      <w:sz w:val="24"/>
      <w:szCs w:val="24"/>
      <w:lang w:val="en-US" w:eastAsia="zh-CN" w:bidi="ar-SA"/>
    </w:rPr>
  </w:style>
  <w:style w:type="character" w:styleId="1149">
    <w:name w:val="正文缩进 字符1"/>
    <w:next w:val="1149"/>
    <w:link w:val="1148"/>
    <w:rPr>
      <w:rFonts w:ascii="宋体" w:hAnsi="Times New Roman" w:eastAsia="宋体" w:cs="Times New Roman"/>
      <w:sz w:val="24"/>
      <w:szCs w:val="24"/>
      <w:lang w:val="en-US" w:eastAsia="zh-CN" w:bidi="ar-SA"/>
    </w:rPr>
  </w:style>
  <w:style w:type="paragraph" w:styleId="1150">
    <w:name w:val="题注"/>
    <w:basedOn w:val="1126"/>
    <w:next w:val="1126"/>
    <w:link w:val="1126"/>
    <w:qFormat/>
    <w:pPr>
      <w:spacing w:line="480" w:lineRule="auto"/>
    </w:pPr>
    <w:rPr>
      <w:rFonts w:ascii="华文中宋" w:hAnsi="华文中宋" w:eastAsia="华文中宋" w:cs="Times New Roman"/>
      <w:sz w:val="36"/>
      <w:szCs w:val="20"/>
    </w:rPr>
  </w:style>
  <w:style w:type="paragraph" w:styleId="1151">
    <w:name w:val="文档结构图"/>
    <w:basedOn w:val="1126"/>
    <w:next w:val="1151"/>
    <w:link w:val="1152"/>
    <w:pPr>
      <w:shd w:val="clear" w:color="auto" w:fill="000080"/>
    </w:pPr>
    <w:rPr>
      <w:rFonts w:ascii="Times New Roman" w:hAnsi="Times New Roman" w:eastAsia="宋体" w:cs="Times New Roman"/>
    </w:rPr>
  </w:style>
  <w:style w:type="character" w:styleId="1152">
    <w:name w:val="文档结构图 字符"/>
    <w:next w:val="1152"/>
    <w:link w:val="1151"/>
    <w:rPr>
      <w:rFonts w:ascii="Times New Roman" w:hAnsi="Times New Roman" w:eastAsia="宋体" w:cs="Times New Roman"/>
      <w:sz w:val="21"/>
      <w:szCs w:val="24"/>
      <w:shd w:val="clear" w:color="auto" w:fill="000080"/>
    </w:rPr>
  </w:style>
  <w:style w:type="paragraph" w:styleId="1153">
    <w:name w:val="批注文字"/>
    <w:basedOn w:val="1126"/>
    <w:next w:val="1153"/>
    <w:link w:val="1154"/>
    <w:pPr>
      <w:jc w:val="left"/>
    </w:pPr>
    <w:rPr>
      <w:rFonts w:ascii="Times New Roman" w:hAnsi="Times New Roman" w:eastAsia="宋体" w:cs="Times New Roman"/>
    </w:rPr>
  </w:style>
  <w:style w:type="character" w:styleId="1154">
    <w:name w:val="批注文字 字符1"/>
    <w:next w:val="1154"/>
    <w:link w:val="1153"/>
    <w:rPr>
      <w:rFonts w:ascii="Times New Roman" w:hAnsi="Times New Roman" w:eastAsia="宋体" w:cs="Times New Roman"/>
      <w:sz w:val="21"/>
      <w:szCs w:val="24"/>
    </w:rPr>
  </w:style>
  <w:style w:type="paragraph" w:styleId="1155">
    <w:name w:val="正文文本 3"/>
    <w:basedOn w:val="1126"/>
    <w:next w:val="1155"/>
    <w:link w:val="1156"/>
    <w:qFormat/>
    <w:pPr>
      <w:spacing w:after="120"/>
    </w:pPr>
    <w:rPr>
      <w:rFonts w:ascii="Times New Roman" w:hAnsi="Times New Roman" w:eastAsia="宋体" w:cs="Times New Roman"/>
      <w:sz w:val="16"/>
      <w:szCs w:val="16"/>
    </w:rPr>
  </w:style>
  <w:style w:type="character" w:styleId="1156">
    <w:name w:val="正文文本 3 字符"/>
    <w:next w:val="1156"/>
    <w:link w:val="1155"/>
    <w:qFormat/>
    <w:rPr>
      <w:rFonts w:ascii="Times New Roman" w:hAnsi="Times New Roman" w:eastAsia="宋体" w:cs="Times New Roman"/>
      <w:sz w:val="16"/>
      <w:szCs w:val="16"/>
    </w:rPr>
  </w:style>
  <w:style w:type="paragraph" w:styleId="1157">
    <w:name w:val="正文文本"/>
    <w:basedOn w:val="1126"/>
    <w:next w:val="1126"/>
    <w:link w:val="1158"/>
    <w:pPr>
      <w:ind w:left="0" w:right="0"/>
      <w:jc w:val="both"/>
      <w:spacing w:before="120" w:after="0" w:line="22" w:lineRule="atLeast"/>
      <w:widowControl w:val="off"/>
      <w:tabs>
        <w:tab w:val="left" w:pos="560" w:leader="none"/>
      </w:tabs>
    </w:pPr>
    <w:rPr>
      <w:rFonts w:ascii="宋体" w:hAnsi="宋体" w:eastAsia="宋体" w:cs="宋体"/>
      <w:sz w:val="24"/>
      <w:szCs w:val="24"/>
      <w:lang w:val="en-US" w:eastAsia="zh-CN" w:bidi="ar-SA"/>
    </w:rPr>
  </w:style>
  <w:style w:type="character" w:styleId="1158">
    <w:name w:val="正文文本 字符"/>
    <w:next w:val="1158"/>
    <w:link w:val="1157"/>
    <w:rPr>
      <w:rFonts w:ascii="宋体" w:hAnsi="宋体" w:eastAsia="宋体" w:cs="Times New Roman"/>
      <w:sz w:val="24"/>
      <w:szCs w:val="24"/>
    </w:rPr>
  </w:style>
  <w:style w:type="paragraph" w:styleId="1159">
    <w:name w:val="正文文本缩进"/>
    <w:basedOn w:val="1126"/>
    <w:next w:val="1161"/>
    <w:link w:val="1160"/>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character" w:styleId="1160">
    <w:name w:val="正文文本缩进 字符"/>
    <w:next w:val="1160"/>
    <w:link w:val="1159"/>
    <w:rPr>
      <w:rFonts w:ascii="Times New Roman" w:hAnsi="Times New Roman" w:eastAsia="宋体" w:cs="Times New Roman"/>
      <w:sz w:val="24"/>
      <w:szCs w:val="24"/>
      <w:lang w:val="en-US" w:eastAsia="zh-CN" w:bidi="ar-SA"/>
    </w:rPr>
  </w:style>
  <w:style w:type="paragraph" w:styleId="1161">
    <w:name w:val="寄信人地址"/>
    <w:basedOn w:val="1126"/>
    <w:next w:val="1161"/>
    <w:link w:val="1126"/>
    <w:qFormat/>
    <w:rPr>
      <w:rFonts w:ascii="Arial" w:hAnsi="Arial"/>
    </w:rPr>
  </w:style>
  <w:style w:type="paragraph" w:styleId="1162">
    <w:name w:val="列表 2"/>
    <w:basedOn w:val="1126"/>
    <w:next w:val="1162"/>
    <w:link w:val="1126"/>
    <w:pPr>
      <w:ind w:left="100" w:hanging="200"/>
    </w:pPr>
    <w:rPr>
      <w:rFonts w:ascii="Times New Roman" w:hAnsi="Times New Roman" w:eastAsia="宋体" w:cs="Times New Roman"/>
    </w:rPr>
  </w:style>
  <w:style w:type="paragraph" w:styleId="1163">
    <w:name w:val="文本块"/>
    <w:basedOn w:val="1126"/>
    <w:next w:val="1163"/>
    <w:link w:val="1126"/>
    <w:pPr>
      <w:ind w:left="480" w:right="-341" w:firstLine="513"/>
      <w:widowControl/>
    </w:pPr>
    <w:rPr>
      <w:rFonts w:ascii="Times New Roman" w:hAnsi="Times New Roman" w:eastAsia="宋体" w:cs="Times New Roman"/>
      <w:sz w:val="24"/>
      <w:szCs w:val="20"/>
    </w:rPr>
  </w:style>
  <w:style w:type="paragraph" w:styleId="1164">
    <w:name w:val="目录 5"/>
    <w:basedOn w:val="1126"/>
    <w:next w:val="1126"/>
    <w:link w:val="1126"/>
    <w:pPr>
      <w:ind w:left="1680"/>
    </w:pPr>
    <w:rPr>
      <w:rFonts w:ascii="Times New Roman" w:hAnsi="Times New Roman" w:eastAsia="宋体" w:cs="Times New Roman"/>
    </w:rPr>
  </w:style>
  <w:style w:type="paragraph" w:styleId="1165">
    <w:name w:val="目录 3"/>
    <w:basedOn w:val="1126"/>
    <w:next w:val="1126"/>
    <w:link w:val="1126"/>
    <w:pPr>
      <w:ind w:left="840"/>
    </w:pPr>
    <w:rPr>
      <w:rFonts w:ascii="Times New Roman" w:hAnsi="Times New Roman" w:eastAsia="宋体" w:cs="Times New Roman"/>
    </w:rPr>
  </w:style>
  <w:style w:type="paragraph" w:styleId="1166">
    <w:name w:val="纯文本"/>
    <w:basedOn w:val="1126"/>
    <w:next w:val="1166"/>
    <w:link w:val="1167"/>
    <w:pPr>
      <w:jc w:val="both"/>
      <w:spacing w:after="0"/>
      <w:widowControl w:val="off"/>
    </w:pPr>
    <w:rPr>
      <w:rFonts w:ascii="宋体" w:hAnsi="Courier New" w:eastAsia="宋体" w:cs="宋体"/>
      <w:sz w:val="21"/>
      <w:szCs w:val="20"/>
      <w:lang w:val="en-US" w:eastAsia="zh-CN" w:bidi="ar-SA"/>
    </w:rPr>
  </w:style>
  <w:style w:type="character" w:styleId="1167">
    <w:name w:val="纯文本 字符2"/>
    <w:next w:val="1167"/>
    <w:link w:val="1166"/>
    <w:rPr>
      <w:rFonts w:hint="eastAsia" w:ascii="宋体" w:hAnsi="Courier New" w:eastAsia="宋体" w:cs="宋体"/>
      <w:sz w:val="21"/>
    </w:rPr>
  </w:style>
  <w:style w:type="paragraph" w:styleId="1168">
    <w:name w:val="目录 8"/>
    <w:basedOn w:val="1126"/>
    <w:next w:val="1126"/>
    <w:link w:val="1126"/>
    <w:pPr>
      <w:ind w:left="2940"/>
    </w:pPr>
    <w:rPr>
      <w:rFonts w:ascii="Times New Roman" w:hAnsi="Times New Roman" w:eastAsia="宋体" w:cs="Times New Roman"/>
    </w:rPr>
  </w:style>
  <w:style w:type="paragraph" w:styleId="1169">
    <w:name w:val="日期"/>
    <w:basedOn w:val="1126"/>
    <w:next w:val="1126"/>
    <w:link w:val="1170"/>
    <w:pPr>
      <w:ind w:left="100"/>
    </w:pPr>
    <w:rPr>
      <w:rFonts w:ascii="仿宋_GB2312" w:hAnsi="宋体" w:eastAsia="仿宋_GB2312" w:cs="Times New Roman"/>
      <w:color w:val="000000"/>
      <w:sz w:val="24"/>
    </w:rPr>
  </w:style>
  <w:style w:type="character" w:styleId="1170">
    <w:name w:val="日期 字符"/>
    <w:next w:val="1170"/>
    <w:link w:val="1169"/>
    <w:rPr>
      <w:rFonts w:ascii="仿宋_GB2312" w:hAnsi="宋体" w:eastAsia="仿宋_GB2312" w:cs="Times New Roman"/>
      <w:color w:val="000000"/>
      <w:sz w:val="24"/>
      <w:szCs w:val="24"/>
    </w:rPr>
  </w:style>
  <w:style w:type="paragraph" w:styleId="1171">
    <w:name w:val="正文文本缩进 2"/>
    <w:basedOn w:val="1126"/>
    <w:next w:val="1171"/>
    <w:link w:val="1172"/>
    <w:pPr>
      <w:ind w:firstLine="480"/>
    </w:pPr>
    <w:rPr>
      <w:rFonts w:ascii="仿宋_GB2312" w:hAnsi="Times New Roman" w:eastAsia="仿宋_GB2312" w:cs="Times New Roman"/>
      <w:sz w:val="24"/>
    </w:rPr>
  </w:style>
  <w:style w:type="character" w:styleId="1172">
    <w:name w:val="正文文本缩进 2 字符"/>
    <w:next w:val="1172"/>
    <w:link w:val="1171"/>
    <w:rPr>
      <w:rFonts w:ascii="仿宋_GB2312" w:hAnsi="Times New Roman" w:eastAsia="仿宋_GB2312" w:cs="Times New Roman"/>
      <w:sz w:val="24"/>
      <w:szCs w:val="24"/>
    </w:rPr>
  </w:style>
  <w:style w:type="paragraph" w:styleId="1173">
    <w:name w:val="批注框文本"/>
    <w:basedOn w:val="1126"/>
    <w:next w:val="1173"/>
    <w:link w:val="1174"/>
    <w:rPr>
      <w:rFonts w:ascii="Times New Roman" w:hAnsi="Times New Roman" w:eastAsia="宋体" w:cs="Times New Roman"/>
      <w:sz w:val="18"/>
      <w:szCs w:val="18"/>
    </w:rPr>
  </w:style>
  <w:style w:type="character" w:styleId="1174">
    <w:name w:val="批注框文本 字符"/>
    <w:next w:val="1174"/>
    <w:link w:val="1173"/>
    <w:rPr>
      <w:rFonts w:ascii="Times New Roman" w:hAnsi="Times New Roman" w:eastAsia="宋体" w:cs="Times New Roman"/>
      <w:sz w:val="18"/>
      <w:szCs w:val="18"/>
    </w:rPr>
  </w:style>
  <w:style w:type="paragraph" w:styleId="1175">
    <w:name w:val="页脚"/>
    <w:basedOn w:val="1126"/>
    <w:next w:val="1175"/>
    <w:link w:val="1176"/>
    <w:pPr>
      <w:jc w:val="left"/>
      <w:spacing w:after="0"/>
      <w:widowControl w:val="off"/>
      <w:tabs>
        <w:tab w:val="center" w:pos="4140" w:leader="none"/>
        <w:tab w:val="right" w:pos="8300" w:leader="none"/>
      </w:tabs>
    </w:pPr>
    <w:rPr>
      <w:rFonts w:ascii="宋体" w:hAnsi="Times New Roman" w:eastAsia="宋体" w:cs="宋体"/>
      <w:sz w:val="18"/>
      <w:szCs w:val="20"/>
      <w:lang w:val="en-US" w:eastAsia="zh-CN" w:bidi="ar-SA"/>
    </w:rPr>
  </w:style>
  <w:style w:type="character" w:styleId="1176">
    <w:name w:val="页脚 字符"/>
    <w:next w:val="1176"/>
    <w:link w:val="1175"/>
    <w:rPr>
      <w:rFonts w:ascii="宋体" w:hAnsi="Times New Roman" w:eastAsia="宋体" w:cs="Times New Roman"/>
      <w:sz w:val="18"/>
      <w:lang w:val="en-US" w:eastAsia="zh-CN" w:bidi="ar-SA"/>
    </w:rPr>
  </w:style>
  <w:style w:type="paragraph" w:styleId="1177">
    <w:name w:val="页眉"/>
    <w:basedOn w:val="1126"/>
    <w:next w:val="1177"/>
    <w:link w:val="1178"/>
    <w:pPr>
      <w:jc w:val="center"/>
      <w:spacing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1178">
    <w:name w:val="页眉 字符"/>
    <w:next w:val="1178"/>
    <w:link w:val="1177"/>
    <w:rPr>
      <w:rFonts w:ascii="Times New Roman" w:hAnsi="Times New Roman" w:eastAsia="宋体" w:cs="Times New Roman"/>
      <w:sz w:val="18"/>
      <w:szCs w:val="18"/>
      <w:lang w:val="en-US" w:eastAsia="zh-CN" w:bidi="ar-SA"/>
    </w:rPr>
  </w:style>
  <w:style w:type="paragraph" w:styleId="1179">
    <w:name w:val="目录 1"/>
    <w:basedOn w:val="1126"/>
    <w:next w:val="1179"/>
    <w:link w:val="1126"/>
    <w:pPr>
      <w:jc w:val="both"/>
      <w:spacing w:after="0" w:line="300" w:lineRule="auto"/>
      <w:widowControl w:val="off"/>
      <w:tabs>
        <w:tab w:val="left" w:pos="1040" w:leader="none"/>
        <w:tab w:val="right" w:pos="8920" w:leader="dot"/>
      </w:tabs>
    </w:pPr>
    <w:rPr>
      <w:rFonts w:ascii="宋体" w:hAnsi="宋体" w:eastAsia="宋体" w:cs="宋体"/>
      <w:b/>
      <w:bCs/>
      <w:sz w:val="24"/>
      <w:szCs w:val="24"/>
      <w:lang w:val="en-US" w:eastAsia="zh-CN" w:bidi="ar-SA"/>
    </w:rPr>
  </w:style>
  <w:style w:type="paragraph" w:styleId="1180">
    <w:name w:val="目录 4"/>
    <w:basedOn w:val="1126"/>
    <w:next w:val="1126"/>
    <w:link w:val="1126"/>
    <w:pPr>
      <w:ind w:left="1260"/>
    </w:pPr>
    <w:rPr>
      <w:rFonts w:ascii="Times New Roman" w:hAnsi="Times New Roman" w:eastAsia="宋体" w:cs="Times New Roman"/>
    </w:rPr>
  </w:style>
  <w:style w:type="paragraph" w:styleId="1181">
    <w:name w:val="列表"/>
    <w:basedOn w:val="1126"/>
    <w:next w:val="1181"/>
    <w:link w:val="1126"/>
    <w:pPr>
      <w:contextualSpacing/>
      <w:ind w:left="200" w:hanging="200"/>
    </w:pPr>
    <w:rPr>
      <w:rFonts w:ascii="Times New Roman" w:hAnsi="Times New Roman" w:eastAsia="宋体" w:cs="Times New Roman"/>
    </w:rPr>
  </w:style>
  <w:style w:type="paragraph" w:styleId="1182">
    <w:name w:val="目录 6"/>
    <w:basedOn w:val="1126"/>
    <w:next w:val="1126"/>
    <w:link w:val="1126"/>
    <w:pPr>
      <w:ind w:left="2100"/>
    </w:pPr>
    <w:rPr>
      <w:rFonts w:ascii="Times New Roman" w:hAnsi="Times New Roman" w:eastAsia="宋体" w:cs="Times New Roman"/>
    </w:rPr>
  </w:style>
  <w:style w:type="paragraph" w:styleId="1183">
    <w:name w:val="正文文本缩进 3"/>
    <w:basedOn w:val="1126"/>
    <w:next w:val="1183"/>
    <w:link w:val="1184"/>
    <w:pPr>
      <w:ind w:left="720" w:firstLine="480"/>
      <w:jc w:val="left"/>
      <w:spacing w:before="120" w:line="22" w:lineRule="atLeast"/>
    </w:pPr>
    <w:rPr>
      <w:rFonts w:ascii="宋体" w:hAnsi="Times New Roman" w:eastAsia="宋体" w:cs="Times New Roman"/>
      <w:sz w:val="24"/>
      <w:szCs w:val="20"/>
    </w:rPr>
  </w:style>
  <w:style w:type="character" w:styleId="1184">
    <w:name w:val="正文文本缩进 3 字符"/>
    <w:next w:val="1184"/>
    <w:link w:val="1183"/>
    <w:rPr>
      <w:rFonts w:ascii="宋体" w:hAnsi="Times New Roman" w:eastAsia="宋体" w:cs="Times New Roman"/>
      <w:sz w:val="24"/>
    </w:rPr>
  </w:style>
  <w:style w:type="paragraph" w:styleId="1185">
    <w:name w:val="目录 2"/>
    <w:basedOn w:val="1126"/>
    <w:next w:val="1126"/>
    <w:link w:val="1126"/>
    <w:pPr>
      <w:ind w:left="420"/>
      <w:spacing w:line="312" w:lineRule="auto"/>
      <w:tabs>
        <w:tab w:val="right" w:pos="8937" w:leader="dot"/>
      </w:tabs>
    </w:pPr>
    <w:rPr>
      <w:rFonts w:ascii="Times New Roman" w:hAnsi="Times New Roman" w:eastAsia="宋体" w:cs="Times New Roman"/>
    </w:rPr>
  </w:style>
  <w:style w:type="paragraph" w:styleId="1186">
    <w:name w:val="目录 9"/>
    <w:basedOn w:val="1126"/>
    <w:next w:val="1126"/>
    <w:link w:val="1126"/>
    <w:pPr>
      <w:ind w:left="3360"/>
    </w:pPr>
    <w:rPr>
      <w:rFonts w:ascii="Times New Roman" w:hAnsi="Times New Roman" w:eastAsia="宋体" w:cs="Times New Roman"/>
    </w:rPr>
  </w:style>
  <w:style w:type="paragraph" w:styleId="1187">
    <w:name w:val="HTML 预设格式"/>
    <w:basedOn w:val="1126"/>
    <w:next w:val="1187"/>
    <w:link w:val="118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1188">
    <w:name w:val="HTML 预设格式 字符"/>
    <w:next w:val="1188"/>
    <w:link w:val="1187"/>
    <w:rPr>
      <w:rFonts w:ascii="宋体" w:hAnsi="宋体" w:eastAsia="宋体" w:cs="宋体"/>
      <w:sz w:val="24"/>
      <w:szCs w:val="24"/>
    </w:rPr>
  </w:style>
  <w:style w:type="paragraph" w:styleId="1189">
    <w:name w:val="普通(网站)"/>
    <w:basedOn w:val="1126"/>
    <w:next w:val="1189"/>
    <w:link w:val="1126"/>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1190">
    <w:name w:val="索引 1"/>
    <w:basedOn w:val="1126"/>
    <w:next w:val="1126"/>
    <w:link w:val="1126"/>
    <w:rPr>
      <w:rFonts w:ascii="Times New Roman" w:hAnsi="Times New Roman" w:eastAsia="宋体" w:cs="Times New Roman"/>
      <w:szCs w:val="20"/>
    </w:rPr>
  </w:style>
  <w:style w:type="paragraph" w:styleId="1191">
    <w:name w:val="标题"/>
    <w:basedOn w:val="1126"/>
    <w:next w:val="1191"/>
    <w:link w:val="1192"/>
    <w:qFormat/>
    <w:pPr>
      <w:jc w:val="center"/>
      <w:outlineLvl w:val="0"/>
    </w:pPr>
    <w:rPr>
      <w:rFonts w:ascii="Times New Roman" w:hAnsi="Times New Roman" w:eastAsia="宋体" w:cs="Times New Roman"/>
      <w:b/>
      <w:sz w:val="32"/>
      <w:szCs w:val="20"/>
    </w:rPr>
  </w:style>
  <w:style w:type="character" w:styleId="1192">
    <w:name w:val="标题 字符"/>
    <w:next w:val="1192"/>
    <w:link w:val="1191"/>
    <w:rPr>
      <w:rFonts w:ascii="Times New Roman" w:hAnsi="Times New Roman" w:eastAsia="宋体" w:cs="Times New Roman"/>
      <w:b/>
      <w:sz w:val="32"/>
    </w:rPr>
  </w:style>
  <w:style w:type="paragraph" w:styleId="1193">
    <w:name w:val="批注主题"/>
    <w:basedOn w:val="1153"/>
    <w:next w:val="1153"/>
    <w:link w:val="1194"/>
    <w:rPr>
      <w:rFonts w:ascii="Times New Roman" w:hAnsi="Times New Roman" w:eastAsia="宋体" w:cs="Times New Roman"/>
      <w:b/>
      <w:bCs/>
    </w:rPr>
  </w:style>
  <w:style w:type="character" w:styleId="1194">
    <w:name w:val="批注主题 字符"/>
    <w:next w:val="1194"/>
    <w:link w:val="1193"/>
    <w:rPr>
      <w:rFonts w:ascii="Times New Roman" w:hAnsi="Times New Roman" w:eastAsia="宋体" w:cs="Times New Roman"/>
      <w:b/>
      <w:bCs/>
      <w:sz w:val="21"/>
      <w:szCs w:val="24"/>
      <w:lang w:val="en-US" w:eastAsia="zh-CN" w:bidi="ar-SA"/>
    </w:rPr>
  </w:style>
  <w:style w:type="paragraph" w:styleId="1195">
    <w:name w:val="正文首行缩进"/>
    <w:basedOn w:val="1157"/>
    <w:next w:val="1195"/>
    <w:link w:val="1126"/>
    <w:pPr>
      <w:ind w:firstLine="420"/>
      <w:tabs>
        <w:tab w:val="left" w:pos="560" w:leader="none"/>
        <w:tab w:val="left" w:pos="567" w:leader="none"/>
      </w:tabs>
    </w:pPr>
    <w:rPr>
      <w:rFonts w:ascii="Times New Roman" w:hAnsi="Times New Roman" w:eastAsia="宋体" w:cs="Times New Roman"/>
    </w:rPr>
  </w:style>
  <w:style w:type="paragraph" w:styleId="1196">
    <w:name w:val="正文首行缩进 2"/>
    <w:basedOn w:val="1159"/>
    <w:next w:val="1196"/>
    <w:link w:val="1197"/>
    <w:pPr>
      <w:ind w:left="420" w:firstLine="420"/>
      <w:spacing w:after="120" w:line="480" w:lineRule="exact"/>
    </w:pPr>
    <w:rPr>
      <w:rFonts w:ascii="Times New Roman" w:hAnsi="Times New Roman" w:eastAsia="宋体" w:cs="Times New Roman"/>
      <w:szCs w:val="20"/>
    </w:rPr>
  </w:style>
  <w:style w:type="character" w:styleId="1197">
    <w:name w:val="正文文本首行缩进 2 字符"/>
    <w:next w:val="1197"/>
    <w:link w:val="1196"/>
    <w:rPr>
      <w:rFonts w:ascii="Times New Roman" w:hAnsi="Times New Roman" w:eastAsia="宋体" w:cs="Times New Roman"/>
      <w:sz w:val="24"/>
      <w:szCs w:val="24"/>
      <w:lang w:val="en-US" w:eastAsia="zh-CN" w:bidi="ar-SA"/>
    </w:rPr>
  </w:style>
  <w:style w:type="table" w:styleId="1198">
    <w:name w:val="网格型"/>
    <w:basedOn w:val="1137"/>
    <w:next w:val="1198"/>
    <w:link w:val="1126"/>
    <w:rPr>
      <w:rFonts w:ascii="Times New Roman" w:hAnsi="Times New Roman" w:eastAsia="宋体" w:cs="Times New Roman"/>
    </w:rPr>
    <w:tblPr/>
  </w:style>
  <w:style w:type="table" w:styleId="1199">
    <w:name w:val="中等深浅网格 1 - 强调文字颜色 2"/>
    <w:basedOn w:val="1137"/>
    <w:next w:val="1199"/>
    <w:link w:val="1126"/>
    <w:rPr>
      <w:rFonts w:ascii="Times New Roman" w:hAnsi="Times New Roman" w:eastAsia="宋体" w:cs="Times New Roman"/>
      <w:sz w:val="21"/>
      <w:szCs w:val="24"/>
    </w:rPr>
    <w:tblPr/>
  </w:style>
  <w:style w:type="character" w:styleId="1200">
    <w:name w:val="要点"/>
    <w:next w:val="1200"/>
    <w:link w:val="1126"/>
    <w:qFormat/>
    <w:rPr>
      <w:rFonts w:ascii="Times New Roman" w:hAnsi="Times New Roman" w:eastAsia="宋体" w:cs="Times New Roman"/>
      <w:b/>
      <w:bCs/>
    </w:rPr>
  </w:style>
  <w:style w:type="character" w:styleId="1201">
    <w:name w:val="页码"/>
    <w:next w:val="1201"/>
    <w:link w:val="1126"/>
    <w:rPr>
      <w:rFonts w:ascii="Times New Roman" w:hAnsi="Times New Roman" w:eastAsia="宋体" w:cs="Times New Roman"/>
    </w:rPr>
  </w:style>
  <w:style w:type="character" w:styleId="1202">
    <w:name w:val="已访问的超链接"/>
    <w:next w:val="1202"/>
    <w:link w:val="1126"/>
    <w:rPr>
      <w:rFonts w:ascii="Times New Roman" w:hAnsi="Times New Roman" w:eastAsia="宋体" w:cs="Times New Roman"/>
      <w:color w:val="800080"/>
      <w:u w:val="single"/>
    </w:rPr>
  </w:style>
  <w:style w:type="character" w:styleId="1203">
    <w:name w:val="强调"/>
    <w:next w:val="1203"/>
    <w:link w:val="1126"/>
    <w:qFormat/>
    <w:rPr>
      <w:rFonts w:ascii="Times New Roman" w:hAnsi="Times New Roman" w:eastAsia="宋体" w:cs="Times New Roman"/>
      <w:color w:val="cc0033"/>
    </w:rPr>
  </w:style>
  <w:style w:type="character" w:styleId="1204">
    <w:name w:val="超链接"/>
    <w:next w:val="1204"/>
    <w:link w:val="1126"/>
    <w:rPr>
      <w:rFonts w:ascii="Times New Roman" w:hAnsi="Times New Roman" w:eastAsia="宋体" w:cs="Times New Roman"/>
      <w:color w:val="0000ff"/>
      <w:sz w:val="21"/>
      <w:u w:val="single"/>
    </w:rPr>
  </w:style>
  <w:style w:type="character" w:styleId="1205">
    <w:name w:val="批注引用"/>
    <w:next w:val="1205"/>
    <w:link w:val="1126"/>
    <w:rPr>
      <w:rFonts w:ascii="Times New Roman" w:hAnsi="Times New Roman" w:eastAsia="宋体" w:cs="Times New Roman"/>
      <w:sz w:val="21"/>
      <w:szCs w:val="21"/>
    </w:rPr>
  </w:style>
  <w:style w:type="character" w:styleId="1206">
    <w:name w:val="HTML 引文"/>
    <w:next w:val="1206"/>
    <w:link w:val="1126"/>
    <w:rPr>
      <w:rFonts w:ascii="Times New Roman" w:hAnsi="Times New Roman" w:eastAsia="宋体" w:cs="Times New Roman"/>
      <w:i/>
      <w:iCs/>
    </w:rPr>
  </w:style>
  <w:style w:type="paragraph" w:styleId="1207">
    <w:name w:val="正文首行缩进 21"/>
    <w:basedOn w:val="1208"/>
    <w:next w:val="1207"/>
    <w:link w:val="1126"/>
    <w:qFormat/>
    <w:pPr>
      <w:ind w:left="420" w:firstLine="420"/>
      <w:spacing w:after="120" w:line="480" w:lineRule="exact"/>
    </w:pPr>
    <w:rPr>
      <w:szCs w:val="20"/>
    </w:rPr>
  </w:style>
  <w:style w:type="paragraph" w:styleId="1208">
    <w:name w:val="正文文本缩进11"/>
    <w:basedOn w:val="1126"/>
    <w:next w:val="1126"/>
    <w:link w:val="1126"/>
    <w:qFormat/>
    <w:pPr>
      <w:ind w:firstLine="570"/>
      <w:spacing w:line="360" w:lineRule="auto"/>
    </w:pPr>
    <w:rPr>
      <w:sz w:val="24"/>
    </w:rPr>
  </w:style>
  <w:style w:type="paragraph" w:styleId="1209">
    <w:name w:val="Default"/>
    <w:next w:val="1209"/>
    <w:link w:val="1126"/>
    <w:pPr>
      <w:widowControl w:val="off"/>
    </w:pPr>
    <w:rPr>
      <w:rFonts w:ascii="Symbol" w:hAnsi="Symbol" w:cs="Symbol"/>
      <w:color w:val="000000"/>
      <w:sz w:val="24"/>
      <w:szCs w:val="24"/>
      <w:lang w:val="en-US" w:eastAsia="zh-CN" w:bidi="ar-SA"/>
    </w:rPr>
  </w:style>
  <w:style w:type="paragraph" w:styleId="1210">
    <w:name w:val="列表段落"/>
    <w:basedOn w:val="1126"/>
    <w:next w:val="1210"/>
    <w:link w:val="1211"/>
    <w:qFormat/>
    <w:pPr>
      <w:ind w:firstLine="420"/>
      <w:jc w:val="both"/>
      <w:spacing w:after="0"/>
      <w:widowControl w:val="off"/>
    </w:pPr>
    <w:rPr>
      <w:rFonts w:ascii="Calibri" w:hAnsi="Calibri" w:eastAsia="宋体" w:cs="Calibri"/>
      <w:sz w:val="21"/>
      <w:szCs w:val="22"/>
      <w:lang w:val="en-US" w:eastAsia="zh-CN" w:bidi="ar-SA"/>
    </w:rPr>
  </w:style>
  <w:style w:type="character" w:styleId="1211">
    <w:name w:val="列表段落 字符"/>
    <w:next w:val="1211"/>
    <w:link w:val="1210"/>
    <w:rPr>
      <w:rFonts w:ascii="Calibri" w:hAnsi="Calibri" w:eastAsia="宋体" w:cs="Times New Roman"/>
      <w:sz w:val="21"/>
      <w:szCs w:val="22"/>
      <w:lang w:val="en-US" w:eastAsia="zh-CN" w:bidi="ar-SA"/>
    </w:rPr>
  </w:style>
  <w:style w:type="paragraph" w:styleId="1212">
    <w:name w:val="表格文字"/>
    <w:basedOn w:val="1159"/>
    <w:next w:val="1157"/>
    <w:link w:val="1126"/>
    <w:pPr>
      <w:ind w:firstLine="0"/>
      <w:spacing w:before="20" w:after="20" w:line="240" w:lineRule="auto"/>
    </w:pPr>
    <w:rPr>
      <w:rFonts w:ascii="Century Gothic" w:hAnsi="Century Gothic" w:eastAsia="宋体" w:cs="Times New Roman"/>
      <w:sz w:val="20"/>
      <w:szCs w:val="20"/>
    </w:rPr>
  </w:style>
  <w:style w:type="character" w:styleId="1213">
    <w:name w:val="成文日期 Char"/>
    <w:next w:val="1213"/>
    <w:link w:val="1214"/>
    <w:rPr>
      <w:rFonts w:ascii="仿宋_GB2312" w:hAnsi="Times New Roman" w:eastAsia="仿宋_GB2312" w:cs="Times New Roman"/>
      <w:sz w:val="32"/>
    </w:rPr>
  </w:style>
  <w:style w:type="paragraph" w:styleId="1214">
    <w:name w:val="成文日期"/>
    <w:basedOn w:val="1126"/>
    <w:next w:val="1214"/>
    <w:link w:val="1213"/>
    <w:pPr>
      <w:ind w:right="400" w:firstLine="200"/>
      <w:jc w:val="right"/>
      <w:spacing w:line="570" w:lineRule="exact"/>
    </w:pPr>
    <w:rPr>
      <w:rFonts w:ascii="仿宋_GB2312" w:hAnsi="Times New Roman" w:eastAsia="仿宋_GB2312" w:cs="Times New Roman"/>
      <w:sz w:val="32"/>
      <w:szCs w:val="20"/>
    </w:rPr>
  </w:style>
  <w:style w:type="character" w:styleId="1215">
    <w:name w:val="批注文字 字符"/>
    <w:next w:val="1215"/>
    <w:link w:val="1126"/>
    <w:rPr>
      <w:rFonts w:ascii="Times New Roman" w:hAnsi="Times New Roman" w:eastAsia="宋体" w:cs="Times New Roman"/>
      <w:sz w:val="24"/>
      <w:lang w:val="en-US" w:eastAsia="zh-CN" w:bidi="ar-SA"/>
    </w:rPr>
  </w:style>
  <w:style w:type="character" w:styleId="1216">
    <w:name w:val="c21"/>
    <w:next w:val="1216"/>
    <w:link w:val="1126"/>
    <w:rPr>
      <w:rFonts w:ascii="ˎ̥" w:hAnsi="ˎ̥" w:eastAsia="宋体" w:cs="Times New Roman"/>
      <w:color w:val="000000"/>
      <w:sz w:val="20"/>
      <w:szCs w:val="20"/>
      <w:u w:val="none"/>
    </w:rPr>
  </w:style>
  <w:style w:type="character" w:styleId="1217">
    <w:name w:val="title4"/>
    <w:next w:val="1217"/>
    <w:link w:val="1126"/>
    <w:rPr>
      <w:rFonts w:ascii="Times New Roman" w:hAnsi="Times New Roman" w:eastAsia="宋体" w:cs="Times New Roman"/>
      <w:b/>
      <w:bCs/>
      <w:color w:val="1d87b3"/>
      <w:sz w:val="15"/>
      <w:szCs w:val="15"/>
    </w:rPr>
  </w:style>
  <w:style w:type="character" w:styleId="1218">
    <w:name w:val="标题 2 Char Char"/>
    <w:next w:val="1218"/>
    <w:link w:val="1126"/>
    <w:rPr>
      <w:rFonts w:ascii="Arial" w:hAnsi="Arial" w:eastAsia="黑体" w:cs="Times New Roman"/>
      <w:b/>
      <w:bCs/>
      <w:sz w:val="32"/>
      <w:szCs w:val="32"/>
      <w:lang w:val="en-US" w:eastAsia="zh-CN" w:bidi="ar-SA"/>
    </w:rPr>
  </w:style>
  <w:style w:type="character" w:styleId="1219">
    <w:name w:val="black1"/>
    <w:next w:val="1219"/>
    <w:link w:val="1126"/>
    <w:rPr>
      <w:rFonts w:ascii="Times New Roman" w:hAnsi="Times New Roman" w:eastAsia="宋体" w:cs="Times New Roman"/>
      <w:color w:val="000000"/>
    </w:rPr>
  </w:style>
  <w:style w:type="character" w:styleId="1220">
    <w:name w:val="street-address"/>
    <w:next w:val="1220"/>
    <w:link w:val="1126"/>
    <w:rPr>
      <w:rFonts w:ascii="Times New Roman" w:hAnsi="Times New Roman" w:eastAsia="宋体" w:cs="Times New Roman"/>
    </w:rPr>
  </w:style>
  <w:style w:type="character" w:styleId="1221">
    <w:name w:val="locality"/>
    <w:next w:val="1221"/>
    <w:link w:val="1126"/>
    <w:rPr>
      <w:rFonts w:ascii="Times New Roman" w:hAnsi="Times New Roman" w:eastAsia="宋体" w:cs="Times New Roman"/>
    </w:rPr>
  </w:style>
  <w:style w:type="character" w:styleId="1222">
    <w:name w:val="正文文本缩进 Char1"/>
    <w:next w:val="1222"/>
    <w:link w:val="1223"/>
    <w:rPr>
      <w:rFonts w:ascii="宋体" w:hAnsi="宋体" w:eastAsia="宋体" w:cs="Times New Roman"/>
      <w:sz w:val="24"/>
      <w:szCs w:val="24"/>
      <w:lang w:bidi="ar-SA"/>
    </w:rPr>
  </w:style>
  <w:style w:type="paragraph" w:styleId="1223">
    <w:name w:val="正文文本缩进1"/>
    <w:basedOn w:val="1126"/>
    <w:next w:val="1223"/>
    <w:link w:val="1222"/>
    <w:pPr>
      <w:ind w:firstLine="480"/>
      <w:spacing w:line="480" w:lineRule="exact"/>
    </w:pPr>
    <w:rPr>
      <w:rFonts w:ascii="宋体" w:hAnsi="宋体" w:eastAsia="宋体" w:cs="Times New Roman"/>
      <w:sz w:val="24"/>
    </w:rPr>
  </w:style>
  <w:style w:type="character" w:styleId="1224">
    <w:name w:val="Char Char11"/>
    <w:next w:val="1224"/>
    <w:link w:val="1126"/>
    <w:rPr>
      <w:rFonts w:ascii="宋体" w:hAnsi="Times New Roman" w:eastAsia="宋体" w:cs="Times New Roman"/>
      <w:b/>
      <w:sz w:val="24"/>
      <w:u w:val="single"/>
      <w:lang w:val="en-US" w:eastAsia="zh-CN" w:bidi="ar-SA"/>
    </w:rPr>
  </w:style>
  <w:style w:type="character" w:styleId="1225">
    <w:name w:val="txt"/>
    <w:next w:val="1225"/>
    <w:link w:val="1126"/>
    <w:rPr>
      <w:rFonts w:ascii="Times New Roman" w:hAnsi="Times New Roman" w:eastAsia="宋体" w:cs="Times New Roman"/>
    </w:rPr>
  </w:style>
  <w:style w:type="character" w:styleId="1226">
    <w:name w:val="正文缩进 Char Char"/>
    <w:next w:val="1226"/>
    <w:link w:val="1227"/>
    <w:rPr>
      <w:rFonts w:ascii="宋体" w:hAnsi="Times New Roman" w:eastAsia="宋体" w:cs="Times New Roman"/>
      <w:color w:val="000000"/>
      <w:sz w:val="28"/>
      <w:lang w:bidi="ar-SA"/>
    </w:rPr>
  </w:style>
  <w:style w:type="paragraph" w:styleId="1227">
    <w:name w:val="正文缩进1"/>
    <w:basedOn w:val="1126"/>
    <w:next w:val="1227"/>
    <w:link w:val="1226"/>
    <w:pPr>
      <w:ind w:firstLine="567"/>
      <w:spacing w:line="480" w:lineRule="exact"/>
      <w:widowControl/>
    </w:pPr>
    <w:rPr>
      <w:rFonts w:ascii="宋体" w:hAnsi="Times New Roman" w:eastAsia="宋体" w:cs="Times New Roman"/>
      <w:color w:val="000000"/>
      <w:sz w:val="28"/>
      <w:szCs w:val="20"/>
    </w:rPr>
  </w:style>
  <w:style w:type="character" w:styleId="1228">
    <w:name w:val="普通文字1 Char1"/>
    <w:next w:val="1228"/>
    <w:link w:val="1126"/>
    <w:rPr>
      <w:rFonts w:ascii="宋体" w:hAnsi="Courier New" w:eastAsia="宋体" w:cs="Times New Roman"/>
      <w:sz w:val="21"/>
      <w:lang w:val="en-US" w:eastAsia="zh-CN" w:bidi="ar-SA"/>
    </w:rPr>
  </w:style>
  <w:style w:type="character" w:styleId="1229">
    <w:name w:val="chanpin1"/>
    <w:next w:val="1229"/>
    <w:link w:val="1126"/>
    <w:rPr>
      <w:rFonts w:ascii="ˎ̥" w:hAnsi="ˎ̥" w:eastAsia="宋体" w:cs="Times New Roman"/>
      <w:color w:val="000000"/>
      <w:sz w:val="20"/>
      <w:szCs w:val="20"/>
      <w:u w:val="none"/>
    </w:rPr>
  </w:style>
  <w:style w:type="character" w:styleId="1230">
    <w:name w:val="标题 3 Char Char"/>
    <w:next w:val="1230"/>
    <w:link w:val="1126"/>
    <w:rPr>
      <w:rFonts w:ascii="Times New Roman" w:hAnsi="Times New Roman" w:eastAsia="宋体" w:cs="Times New Roman"/>
      <w:b/>
      <w:bCs/>
      <w:sz w:val="32"/>
      <w:szCs w:val="32"/>
      <w:lang w:val="en-US" w:eastAsia="zh-CN" w:bidi="ar-SA"/>
    </w:rPr>
  </w:style>
  <w:style w:type="character" w:styleId="1231">
    <w:name w:val="段1 Char"/>
    <w:next w:val="1231"/>
    <w:link w:val="1126"/>
    <w:rPr>
      <w:rFonts w:ascii="宋体" w:hAnsi="Times New Roman" w:eastAsia="宋体" w:cs="Times New Roman"/>
      <w:sz w:val="24"/>
      <w:lang w:val="en-US" w:eastAsia="zh-CN" w:bidi="ar-SA"/>
    </w:rPr>
  </w:style>
  <w:style w:type="character" w:styleId="1232">
    <w:name w:val="chanpin拷贝"/>
    <w:next w:val="1232"/>
    <w:link w:val="1126"/>
    <w:rPr>
      <w:rFonts w:ascii="Times New Roman" w:hAnsi="Times New Roman" w:eastAsia="宋体" w:cs="Times New Roman"/>
    </w:rPr>
  </w:style>
  <w:style w:type="character" w:styleId="1233">
    <w:name w:val="纯文本 Char1"/>
    <w:next w:val="1233"/>
    <w:link w:val="1126"/>
    <w:rPr>
      <w:rFonts w:ascii="宋体" w:hAnsi="Courier New" w:eastAsia="宋体" w:cs="Times New Roman"/>
      <w:sz w:val="21"/>
      <w:lang w:val="en-US" w:eastAsia="zh-CN" w:bidi="ar-SA"/>
    </w:rPr>
  </w:style>
  <w:style w:type="character" w:styleId="1234">
    <w:name w:val="apple-style-span"/>
    <w:next w:val="1234"/>
    <w:link w:val="1126"/>
    <w:rPr>
      <w:rFonts w:ascii="Times New Roman" w:hAnsi="Times New Roman" w:eastAsia="宋体" w:cs="Times New Roman"/>
    </w:rPr>
  </w:style>
  <w:style w:type="paragraph" w:styleId="1235">
    <w:name w:val="章标题"/>
    <w:next w:val="1126"/>
    <w:link w:val="1126"/>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6">
    <w:name w:val="一级条标题"/>
    <w:basedOn w:val="1235"/>
    <w:next w:val="1126"/>
    <w:link w:val="1126"/>
    <w:pPr>
      <w:numPr>
        <w:ilvl w:val="1"/>
      </w:numPr>
      <w:ind w:left="0" w:hanging="840"/>
      <w:tabs>
        <w:tab w:val="left" w:pos="360" w:leader="none"/>
        <w:tab w:val="left" w:pos="840" w:leader="none"/>
      </w:tabs>
      <w:outlineLvl w:val="1"/>
    </w:pPr>
    <w:rPr>
      <w:rFonts w:ascii="Times New Roman" w:hAnsi="Times New Roman" w:eastAsia="宋体" w:cs="Times New Roman"/>
    </w:rPr>
  </w:style>
  <w:style w:type="paragraph" w:styleId="1237">
    <w:name w:val="二级条标题"/>
    <w:basedOn w:val="1236"/>
    <w:next w:val="1126"/>
    <w:link w:val="1126"/>
    <w:pPr>
      <w:numPr>
        <w:ilvl w:val="0"/>
        <w:numId w:val="0"/>
      </w:numPr>
      <w:ind w:hanging="840"/>
      <w:tabs>
        <w:tab w:val="left" w:pos="360" w:leader="none"/>
        <w:tab w:val="left" w:pos="840" w:leader="none"/>
      </w:tabs>
      <w:outlineLvl w:val="2"/>
    </w:pPr>
    <w:rPr>
      <w:rFonts w:ascii="宋体" w:hAnsi="Times New Roman" w:eastAsia="宋体" w:cs="Times New Roman"/>
      <w:b w:val="0"/>
    </w:rPr>
  </w:style>
  <w:style w:type="paragraph" w:styleId="1238">
    <w:name w:val="font7"/>
    <w:basedOn w:val="1126"/>
    <w:next w:val="1238"/>
    <w:link w:val="1126"/>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239">
    <w:name w:val="字元 字元"/>
    <w:basedOn w:val="1126"/>
    <w:next w:val="1239"/>
    <w:link w:val="1126"/>
    <w:rPr>
      <w:rFonts w:ascii="Tahoma" w:hAnsi="Tahoma" w:eastAsia="宋体" w:cs="Times New Roman"/>
      <w:sz w:val="24"/>
      <w:szCs w:val="20"/>
    </w:rPr>
  </w:style>
  <w:style w:type="paragraph" w:styleId="1240">
    <w:name w:val="Char3 Char Char Char"/>
    <w:basedOn w:val="1126"/>
    <w:next w:val="1240"/>
    <w:link w:val="1126"/>
    <w:rPr>
      <w:rFonts w:ascii="Tahoma" w:hAnsi="Tahoma" w:eastAsia="宋体" w:cs="Times New Roman"/>
      <w:sz w:val="24"/>
      <w:szCs w:val="20"/>
    </w:rPr>
  </w:style>
  <w:style w:type="paragraph" w:styleId="1241">
    <w:name w:val="font6"/>
    <w:basedOn w:val="1126"/>
    <w:next w:val="1241"/>
    <w:link w:val="1126"/>
    <w:pPr>
      <w:jc w:val="left"/>
      <w:spacing w:before="100" w:beforeAutospacing="1" w:after="100" w:afterAutospacing="1"/>
      <w:widowControl/>
    </w:pPr>
    <w:rPr>
      <w:rFonts w:ascii="宋体" w:hAnsi="宋体" w:eastAsia="宋体" w:cs="宋体"/>
      <w:sz w:val="20"/>
      <w:szCs w:val="20"/>
    </w:rPr>
  </w:style>
  <w:style w:type="paragraph" w:styleId="1242">
    <w:name w:val="项目编号1"/>
    <w:basedOn w:val="1126"/>
    <w:next w:val="1242"/>
    <w:link w:val="1126"/>
    <w:pPr>
      <w:numPr>
        <w:ilvl w:val="0"/>
        <w:numId w:val="2"/>
      </w:numPr>
      <w:spacing w:before="100" w:beforeAutospacing="1" w:after="100" w:afterAutospacing="1" w:line="360" w:lineRule="auto"/>
    </w:pPr>
    <w:rPr>
      <w:rFonts w:ascii="Times New Roman" w:hAnsi="Times New Roman" w:eastAsia="宋体" w:cs="Times New Roman"/>
      <w:sz w:val="24"/>
    </w:rPr>
  </w:style>
  <w:style w:type="paragraph" w:styleId="1243">
    <w:name w:val="项目编号2"/>
    <w:basedOn w:val="1242"/>
    <w:next w:val="1243"/>
    <w:link w:val="1126"/>
    <w:pPr>
      <w:numPr>
        <w:numId w:val="3"/>
      </w:numPr>
    </w:pPr>
    <w:rPr>
      <w:rFonts w:ascii="Times New Roman" w:hAnsi="Times New Roman" w:eastAsia="宋体" w:cs="Times New Roman"/>
    </w:rPr>
  </w:style>
  <w:style w:type="paragraph" w:styleId="1244">
    <w:name w:val="图中文字"/>
    <w:basedOn w:val="1126"/>
    <w:next w:val="1244"/>
    <w:link w:val="1126"/>
    <w:pPr>
      <w:jc w:val="center"/>
      <w:spacing w:line="0" w:lineRule="atLeast"/>
    </w:pPr>
    <w:rPr>
      <w:rFonts w:ascii="Times New Roman" w:hAnsi="Times New Roman" w:eastAsia="宋体" w:cs="Times New Roman"/>
      <w:sz w:val="24"/>
      <w:szCs w:val="20"/>
    </w:rPr>
  </w:style>
  <w:style w:type="paragraph" w:styleId="1245">
    <w:name w:val="xl46"/>
    <w:basedOn w:val="1126"/>
    <w:next w:val="1245"/>
    <w:link w:val="1126"/>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6">
    <w:name w:val="xl25"/>
    <w:basedOn w:val="1126"/>
    <w:next w:val="1246"/>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Char2"/>
    <w:basedOn w:val="1126"/>
    <w:next w:val="1247"/>
    <w:link w:val="1126"/>
    <w:rPr>
      <w:rFonts w:ascii="Tahoma" w:hAnsi="Tahoma" w:eastAsia="宋体" w:cs="Times New Roman"/>
      <w:sz w:val="24"/>
      <w:szCs w:val="20"/>
    </w:rPr>
  </w:style>
  <w:style w:type="paragraph" w:styleId="1248">
    <w:name w:val="xl35"/>
    <w:basedOn w:val="1126"/>
    <w:next w:val="1248"/>
    <w:link w:val="1126"/>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9">
    <w:name w:val="xl40"/>
    <w:basedOn w:val="1126"/>
    <w:next w:val="1249"/>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0">
    <w:name w:val="xl52"/>
    <w:basedOn w:val="1126"/>
    <w:next w:val="1250"/>
    <w:link w:val="11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1">
    <w:name w:val="xl43"/>
    <w:basedOn w:val="1126"/>
    <w:next w:val="1251"/>
    <w:link w:val="1126"/>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2">
    <w:name w:val="background1"/>
    <w:basedOn w:val="1126"/>
    <w:next w:val="1252"/>
    <w:link w:val="1126"/>
    <w:pPr>
      <w:jc w:val="left"/>
      <w:spacing w:before="100" w:beforeAutospacing="1" w:after="100" w:afterAutospacing="1"/>
      <w:widowControl/>
    </w:pPr>
    <w:rPr>
      <w:rFonts w:ascii="宋体" w:hAnsi="宋体" w:eastAsia="宋体" w:cs="宋体"/>
      <w:sz w:val="24"/>
    </w:rPr>
  </w:style>
  <w:style w:type="paragraph" w:styleId="1253">
    <w:name w:val="Char Char Char Char Char Char Char"/>
    <w:basedOn w:val="1126"/>
    <w:next w:val="1253"/>
    <w:link w:val="1126"/>
    <w:pPr>
      <w:ind w:firstLine="200"/>
      <w:spacing w:line="360" w:lineRule="auto"/>
    </w:pPr>
    <w:rPr>
      <w:rFonts w:ascii="Times New Roman" w:hAnsi="Times New Roman" w:eastAsia="仿宋_GB2312" w:cs="Times New Roman"/>
      <w:sz w:val="24"/>
    </w:rPr>
  </w:style>
  <w:style w:type="paragraph" w:styleId="1254">
    <w:name w:val="xl38"/>
    <w:basedOn w:val="1126"/>
    <w:next w:val="1254"/>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5">
    <w:name w:val="xl36"/>
    <w:basedOn w:val="1126"/>
    <w:next w:val="1255"/>
    <w:link w:val="1126"/>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6">
    <w:name w:val="正文 + 宋体"/>
    <w:basedOn w:val="1126"/>
    <w:next w:val="1256"/>
    <w:link w:val="1126"/>
    <w:pPr>
      <w:ind w:left="360" w:hanging="360"/>
      <w:jc w:val="left"/>
      <w:widowControl/>
    </w:pPr>
    <w:rPr>
      <w:rFonts w:ascii="宋体" w:hAnsi="宋体" w:eastAsia="宋体" w:cs="宋体"/>
      <w:b/>
      <w:bCs/>
      <w:color w:val="000000"/>
      <w:sz w:val="18"/>
      <w:szCs w:val="18"/>
    </w:rPr>
  </w:style>
  <w:style w:type="paragraph" w:styleId="1257">
    <w:name w:val="正文列项_数字"/>
    <w:basedOn w:val="1126"/>
    <w:next w:val="1257"/>
    <w:link w:val="1126"/>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258">
    <w:name w:val="xl39"/>
    <w:basedOn w:val="1126"/>
    <w:next w:val="1258"/>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name w:val="xl37"/>
    <w:basedOn w:val="1126"/>
    <w:next w:val="1259"/>
    <w:link w:val="1126"/>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0">
    <w:name w:val="xl32"/>
    <w:basedOn w:val="1126"/>
    <w:next w:val="1260"/>
    <w:link w:val="11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name w:val="font8"/>
    <w:basedOn w:val="1126"/>
    <w:next w:val="1261"/>
    <w:link w:val="1126"/>
    <w:pPr>
      <w:jc w:val="left"/>
      <w:spacing w:before="100" w:beforeAutospacing="1" w:after="100" w:afterAutospacing="1"/>
      <w:widowControl/>
    </w:pPr>
    <w:rPr>
      <w:rFonts w:ascii="Times New Roman" w:hAnsi="Times New Roman" w:eastAsia="宋体" w:cs="Times New Roman"/>
      <w:sz w:val="36"/>
      <w:szCs w:val="36"/>
    </w:rPr>
  </w:style>
  <w:style w:type="paragraph" w:styleId="1262">
    <w:name w:val="Char"/>
    <w:basedOn w:val="1126"/>
    <w:next w:val="1262"/>
    <w:link w:val="1126"/>
    <w:pPr>
      <w:tabs>
        <w:tab w:val="left" w:pos="360" w:leader="none"/>
      </w:tabs>
    </w:pPr>
    <w:rPr>
      <w:rFonts w:ascii="Times New Roman" w:hAnsi="Times New Roman" w:eastAsia="宋体" w:cs="Times New Roman"/>
      <w:sz w:val="24"/>
    </w:rPr>
  </w:style>
  <w:style w:type="paragraph" w:styleId="1263">
    <w:name w:val="Char Char Char Char Char Char Char Char Char Char Char Char Char Char Char Char"/>
    <w:basedOn w:val="1126"/>
    <w:next w:val="1263"/>
    <w:link w:val="1126"/>
    <w:pPr>
      <w:jc w:val="center"/>
      <w:spacing w:after="160" w:line="240" w:lineRule="exact"/>
      <w:widowControl/>
    </w:pPr>
    <w:rPr>
      <w:rFonts w:ascii="宋体" w:hAnsi="宋体" w:eastAsia="宋体" w:cs="Times New Roman"/>
      <w:b/>
      <w:sz w:val="30"/>
      <w:szCs w:val="30"/>
      <w:lang w:eastAsia="en-US"/>
    </w:rPr>
  </w:style>
  <w:style w:type="paragraph" w:styleId="1264">
    <w:name w:val="xl45"/>
    <w:basedOn w:val="1126"/>
    <w:next w:val="1264"/>
    <w:link w:val="1126"/>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5">
    <w:name w:val="Char Char1 Char Char Char Char Char Char"/>
    <w:basedOn w:val="1126"/>
    <w:next w:val="1265"/>
    <w:link w:val="1126"/>
    <w:pPr>
      <w:jc w:val="left"/>
      <w:spacing w:after="160" w:line="240" w:lineRule="exact"/>
      <w:widowControl/>
    </w:pPr>
    <w:rPr>
      <w:rFonts w:ascii="Verdana" w:hAnsi="Verdana" w:eastAsia="仿宋_GB2312" w:cs="Times New Roman"/>
      <w:sz w:val="24"/>
      <w:szCs w:val="20"/>
      <w:lang w:eastAsia="en-US"/>
    </w:rPr>
  </w:style>
  <w:style w:type="paragraph" w:styleId="1266">
    <w:name w:val="Char Char1"/>
    <w:basedOn w:val="1151"/>
    <w:next w:val="1266"/>
    <w:link w:val="1126"/>
    <w:rPr>
      <w:rFonts w:ascii="Tahoma" w:hAnsi="Tahoma" w:eastAsia="宋体" w:cs="Times New Roman"/>
      <w:sz w:val="24"/>
    </w:rPr>
  </w:style>
  <w:style w:type="paragraph" w:styleId="1267">
    <w:name w:val="xl26"/>
    <w:basedOn w:val="1126"/>
    <w:next w:val="1267"/>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szCs w:val="22"/>
    </w:rPr>
  </w:style>
  <w:style w:type="paragraph" w:styleId="1268">
    <w:name w:val="xl30"/>
    <w:basedOn w:val="1126"/>
    <w:next w:val="1268"/>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9">
    <w:name w:val="xl41"/>
    <w:basedOn w:val="1126"/>
    <w:next w:val="1269"/>
    <w:link w:val="112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0">
    <w:name w:val="样式 宋体 五号 行距: 单倍行距"/>
    <w:basedOn w:val="1126"/>
    <w:next w:val="1270"/>
    <w:link w:val="1126"/>
    <w:pPr>
      <w:jc w:val="left"/>
    </w:pPr>
    <w:rPr>
      <w:rFonts w:ascii="宋体" w:hAnsi="宋体" w:eastAsia="宋体" w:cs="Times New Roman"/>
      <w:szCs w:val="20"/>
    </w:rPr>
  </w:style>
  <w:style w:type="paragraph" w:styleId="1271">
    <w:name w:val="Char1 Char Char Char1"/>
    <w:basedOn w:val="1126"/>
    <w:next w:val="1271"/>
    <w:link w:val="1126"/>
    <w:rPr>
      <w:rFonts w:ascii="Tahoma" w:hAnsi="Tahoma" w:eastAsia="宋体" w:cs="仿宋_GB2312"/>
      <w:sz w:val="24"/>
      <w:szCs w:val="28"/>
    </w:rPr>
  </w:style>
  <w:style w:type="paragraph" w:styleId="1272">
    <w:name w:val="三级条标题"/>
    <w:basedOn w:val="1237"/>
    <w:next w:val="1126"/>
    <w:link w:val="1126"/>
    <w:pPr>
      <w:numPr>
        <w:ilvl w:val="3"/>
        <w:numId w:val="1"/>
      </w:numPr>
      <w:ind w:left="0" w:hanging="840"/>
      <w:tabs>
        <w:tab w:val="left" w:pos="360" w:leader="none"/>
        <w:tab w:val="left" w:pos="840" w:leader="none"/>
      </w:tabs>
      <w:outlineLvl w:val="3"/>
    </w:pPr>
    <w:rPr>
      <w:rFonts w:ascii="Times New Roman" w:hAnsi="Times New Roman" w:eastAsia="宋体" w:cs="Times New Roman"/>
    </w:rPr>
  </w:style>
  <w:style w:type="paragraph" w:styleId="1273">
    <w:name w:val="四级条标题"/>
    <w:basedOn w:val="1272"/>
    <w:next w:val="1126"/>
    <w:link w:val="1126"/>
    <w:pPr>
      <w:numPr>
        <w:ilvl w:val="4"/>
      </w:numPr>
      <w:ind w:left="0" w:hanging="840"/>
      <w:tabs>
        <w:tab w:val="left" w:pos="360" w:leader="none"/>
        <w:tab w:val="left" w:pos="840" w:leader="none"/>
      </w:tabs>
      <w:outlineLvl w:val="4"/>
    </w:pPr>
    <w:rPr>
      <w:rFonts w:ascii="Times New Roman" w:hAnsi="Times New Roman" w:eastAsia="宋体" w:cs="Times New Roman"/>
    </w:rPr>
  </w:style>
  <w:style w:type="paragraph" w:styleId="1274">
    <w:name w:val="??"/>
    <w:next w:val="1274"/>
    <w:link w:val="1126"/>
    <w:pPr>
      <w:jc w:val="both"/>
      <w:widowControl w:val="off"/>
    </w:pPr>
    <w:rPr>
      <w:sz w:val="21"/>
      <w:lang w:val="en-US" w:eastAsia="en-US" w:bidi="ar-SA"/>
    </w:rPr>
  </w:style>
  <w:style w:type="paragraph" w:styleId="1275">
    <w:name w:val="样式 标题 2 + 宋体 五号 行距: 单倍行距"/>
    <w:basedOn w:val="1128"/>
    <w:next w:val="1275"/>
    <w:link w:val="1126"/>
    <w:pPr>
      <w:numPr>
        <w:ilvl w:val="1"/>
        <w:numId w:val="4"/>
      </w:numPr>
      <w:jc w:val="left"/>
      <w:spacing w:before="260" w:after="260" w:line="240" w:lineRule="auto"/>
      <w:tabs>
        <w:tab w:val="left" w:pos="1188" w:leader="none"/>
      </w:tabs>
    </w:pPr>
    <w:rPr>
      <w:rFonts w:ascii="宋体" w:hAnsi="宋体" w:eastAsia="宋体" w:cs="Times New Roman"/>
      <w:bCs/>
      <w:sz w:val="21"/>
    </w:rPr>
  </w:style>
  <w:style w:type="paragraph" w:styleId="1276">
    <w:name w:val="List Paragraph1"/>
    <w:basedOn w:val="1126"/>
    <w:next w:val="1276"/>
    <w:link w:val="1126"/>
    <w:pPr>
      <w:ind w:firstLine="420"/>
    </w:pPr>
    <w:rPr>
      <w:rFonts w:ascii="Calibri" w:hAnsi="Calibri" w:eastAsia="宋体" w:cs="Times New Roman"/>
      <w:szCs w:val="22"/>
    </w:rPr>
  </w:style>
  <w:style w:type="paragraph" w:styleId="1277">
    <w:name w:val="正文文本样式"/>
    <w:basedOn w:val="1126"/>
    <w:next w:val="1277"/>
    <w:link w:val="1126"/>
    <w:pPr>
      <w:ind w:firstLine="482"/>
      <w:spacing w:line="360" w:lineRule="auto"/>
    </w:pPr>
    <w:rPr>
      <w:rFonts w:ascii="Times New Roman" w:hAnsi="Times New Roman" w:eastAsia="宋体" w:cs="宋体"/>
      <w:sz w:val="24"/>
      <w:szCs w:val="20"/>
    </w:rPr>
  </w:style>
  <w:style w:type="paragraph" w:styleId="1278">
    <w:name w:val="项目符号1"/>
    <w:basedOn w:val="1277"/>
    <w:next w:val="1278"/>
    <w:link w:val="1126"/>
    <w:pPr>
      <w:ind w:left="-25" w:firstLine="0"/>
    </w:pPr>
    <w:rPr>
      <w:rFonts w:ascii="Times New Roman" w:hAnsi="Times New Roman" w:eastAsia="宋体" w:cs="Times New Roman"/>
    </w:rPr>
  </w:style>
  <w:style w:type="paragraph" w:styleId="1279">
    <w:name w:val="xl27"/>
    <w:basedOn w:val="1126"/>
    <w:next w:val="1279"/>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280">
    <w:name w:val="font5"/>
    <w:basedOn w:val="1126"/>
    <w:next w:val="1280"/>
    <w:link w:val="1126"/>
    <w:pPr>
      <w:jc w:val="left"/>
      <w:spacing w:before="100" w:beforeAutospacing="1" w:after="100" w:afterAutospacing="1"/>
      <w:widowControl/>
    </w:pPr>
    <w:rPr>
      <w:rFonts w:ascii="宋体" w:hAnsi="宋体" w:eastAsia="宋体" w:cs="宋体"/>
      <w:sz w:val="18"/>
      <w:szCs w:val="18"/>
    </w:rPr>
  </w:style>
  <w:style w:type="paragraph" w:styleId="1281">
    <w:name w:val="五级条标题"/>
    <w:basedOn w:val="1273"/>
    <w:next w:val="1126"/>
    <w:link w:val="1126"/>
    <w:pPr>
      <w:numPr>
        <w:ilvl w:val="5"/>
      </w:numPr>
      <w:ind w:left="0" w:hanging="840"/>
      <w:tabs>
        <w:tab w:val="left" w:pos="360" w:leader="none"/>
        <w:tab w:val="left" w:pos="840" w:leader="none"/>
      </w:tabs>
      <w:outlineLvl w:val="5"/>
    </w:pPr>
    <w:rPr>
      <w:rFonts w:ascii="Times New Roman" w:hAnsi="Times New Roman" w:eastAsia="宋体" w:cs="Times New Roman"/>
    </w:rPr>
  </w:style>
  <w:style w:type="paragraph" w:styleId="1282">
    <w:name w:val="xl49"/>
    <w:basedOn w:val="1126"/>
    <w:next w:val="1282"/>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3">
    <w:name w:val="文档正文"/>
    <w:basedOn w:val="1126"/>
    <w:next w:val="1283"/>
    <w:link w:val="1126"/>
    <w:pPr>
      <w:spacing w:before="120" w:after="120" w:line="180" w:lineRule="auto"/>
    </w:pPr>
    <w:rPr>
      <w:rFonts w:ascii="Arial" w:hAnsi="Arial" w:eastAsia="宋体" w:cs="Times New Roman"/>
      <w:szCs w:val="20"/>
    </w:rPr>
  </w:style>
  <w:style w:type="paragraph" w:styleId="1284">
    <w:name w:val="xl33"/>
    <w:basedOn w:val="1126"/>
    <w:next w:val="1284"/>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285">
    <w:name w:val="xl42"/>
    <w:basedOn w:val="1126"/>
    <w:next w:val="1285"/>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286">
    <w:name w:val="Char Char Char1 Char"/>
    <w:basedOn w:val="1126"/>
    <w:next w:val="1286"/>
    <w:link w:val="1126"/>
    <w:rPr>
      <w:rFonts w:ascii="Tahoma" w:hAnsi="Tahoma" w:eastAsia="宋体" w:cs="Times New Roman"/>
      <w:sz w:val="24"/>
      <w:szCs w:val="20"/>
    </w:rPr>
  </w:style>
  <w:style w:type="paragraph" w:styleId="1287">
    <w:name w:val="xl44"/>
    <w:basedOn w:val="1126"/>
    <w:next w:val="1287"/>
    <w:link w:val="112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8">
    <w:name w:val="1名"/>
    <w:basedOn w:val="1126"/>
    <w:next w:val="1288"/>
    <w:link w:val="1126"/>
    <w:pPr>
      <w:numPr>
        <w:ilvl w:val="0"/>
        <w:numId w:val="5"/>
      </w:numPr>
      <w:spacing w:before="120"/>
      <w:tabs>
        <w:tab w:val="left" w:pos="360" w:leader="none"/>
      </w:tabs>
    </w:pPr>
    <w:rPr>
      <w:rFonts w:ascii="宋体" w:hAnsi="Times New Roman" w:eastAsia="宋体" w:cs="Times New Roman"/>
      <w:sz w:val="28"/>
      <w:szCs w:val="20"/>
    </w:rPr>
  </w:style>
  <w:style w:type="paragraph" w:styleId="1289">
    <w:name w:val="font9"/>
    <w:basedOn w:val="1126"/>
    <w:next w:val="1289"/>
    <w:link w:val="1126"/>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290">
    <w:name w:val="Char Char Char1 Char1"/>
    <w:basedOn w:val="1126"/>
    <w:next w:val="1290"/>
    <w:link w:val="1126"/>
    <w:rPr>
      <w:rFonts w:ascii="Tahoma" w:hAnsi="Tahoma" w:eastAsia="宋体" w:cs="Times New Roman"/>
      <w:sz w:val="24"/>
      <w:szCs w:val="20"/>
    </w:rPr>
  </w:style>
  <w:style w:type="paragraph" w:styleId="1291">
    <w:name w:val="Char Char Char Char Char Char Char Char Char Char"/>
    <w:basedOn w:val="1126"/>
    <w:next w:val="1291"/>
    <w:link w:val="1126"/>
    <w:rPr>
      <w:rFonts w:ascii="Times New Roman" w:hAnsi="Times New Roman" w:eastAsia="宋体" w:cs="Times New Roman"/>
    </w:rPr>
  </w:style>
  <w:style w:type="paragraph" w:styleId="1292">
    <w:name w:val="Char Char1 Char Char Char Char Char Char Char Char"/>
    <w:basedOn w:val="1126"/>
    <w:next w:val="1292"/>
    <w:link w:val="1126"/>
    <w:pPr>
      <w:jc w:val="left"/>
      <w:spacing w:after="160" w:line="240" w:lineRule="exact"/>
      <w:widowControl/>
    </w:pPr>
    <w:rPr>
      <w:rFonts w:ascii="Verdana" w:hAnsi="Verdana" w:eastAsia="宋体" w:cs="Times New Roman"/>
      <w:sz w:val="20"/>
      <w:szCs w:val="20"/>
      <w:lang w:eastAsia="en-US"/>
    </w:rPr>
  </w:style>
  <w:style w:type="paragraph" w:styleId="1293">
    <w:name w:val="Char1"/>
    <w:basedOn w:val="1126"/>
    <w:next w:val="1293"/>
    <w:link w:val="1126"/>
    <w:pPr>
      <w:tabs>
        <w:tab w:val="left" w:pos="360" w:leader="none"/>
      </w:tabs>
    </w:pPr>
    <w:rPr>
      <w:rFonts w:ascii="Times New Roman" w:hAnsi="Times New Roman" w:eastAsia="宋体" w:cs="Times New Roman"/>
      <w:sz w:val="24"/>
    </w:rPr>
  </w:style>
  <w:style w:type="paragraph" w:styleId="1294">
    <w:name w:val="正文列项_字母"/>
    <w:basedOn w:val="1126"/>
    <w:next w:val="1294"/>
    <w:link w:val="1126"/>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295">
    <w:name w:val="xl28"/>
    <w:basedOn w:val="1126"/>
    <w:next w:val="1295"/>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6">
    <w:name w:val="xl47"/>
    <w:basedOn w:val="1126"/>
    <w:next w:val="1296"/>
    <w:link w:val="112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7">
    <w:name w:val="默认段落字体 Para Char Char Char Char"/>
    <w:basedOn w:val="1126"/>
    <w:next w:val="1297"/>
    <w:link w:val="1126"/>
    <w:rPr>
      <w:rFonts w:ascii="Arial" w:hAnsi="Arial" w:eastAsia="宋体" w:cs="Arial"/>
      <w:szCs w:val="21"/>
    </w:rPr>
  </w:style>
  <w:style w:type="paragraph" w:styleId="1298">
    <w:name w:val="xl48"/>
    <w:basedOn w:val="1126"/>
    <w:next w:val="1298"/>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9">
    <w:name w:val="xl31"/>
    <w:basedOn w:val="1126"/>
    <w:next w:val="1299"/>
    <w:link w:val="11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300">
    <w:name w:val="xl53"/>
    <w:basedOn w:val="1126"/>
    <w:next w:val="1300"/>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Char Char Char"/>
    <w:basedOn w:val="1126"/>
    <w:next w:val="1301"/>
    <w:link w:val="1126"/>
    <w:rPr>
      <w:rFonts w:ascii="Tahoma" w:hAnsi="Tahoma" w:eastAsia="宋体" w:cs="Times New Roman"/>
      <w:sz w:val="24"/>
      <w:szCs w:val="20"/>
    </w:rPr>
  </w:style>
  <w:style w:type="paragraph" w:styleId="1302">
    <w:name w:val="xl50"/>
    <w:basedOn w:val="1126"/>
    <w:next w:val="1302"/>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3">
    <w:name w:val="缺省文本"/>
    <w:basedOn w:val="1126"/>
    <w:next w:val="1303"/>
    <w:link w:val="1126"/>
    <w:pPr>
      <w:jc w:val="left"/>
    </w:pPr>
    <w:rPr>
      <w:rFonts w:ascii="Times New Roman" w:hAnsi="Times New Roman" w:eastAsia="宋体" w:cs="Times New Roman"/>
      <w:sz w:val="24"/>
    </w:rPr>
  </w:style>
  <w:style w:type="paragraph" w:styleId="1304">
    <w:name w:val="Char Char Char1"/>
    <w:basedOn w:val="1126"/>
    <w:next w:val="1304"/>
    <w:link w:val="1126"/>
    <w:rPr>
      <w:rFonts w:ascii="Tahoma" w:hAnsi="Tahoma" w:eastAsia="宋体" w:cs="Times New Roman"/>
      <w:sz w:val="24"/>
      <w:szCs w:val="20"/>
    </w:rPr>
  </w:style>
  <w:style w:type="paragraph" w:styleId="1305">
    <w:name w:val="Char Char Char Char Char Char Char1"/>
    <w:basedOn w:val="1126"/>
    <w:next w:val="1305"/>
    <w:link w:val="1126"/>
    <w:pPr>
      <w:ind w:firstLine="200"/>
      <w:spacing w:line="360" w:lineRule="auto"/>
    </w:pPr>
    <w:rPr>
      <w:rFonts w:ascii="Times New Roman" w:hAnsi="Times New Roman" w:eastAsia="仿宋_GB2312" w:cs="Times New Roman"/>
      <w:sz w:val="24"/>
    </w:rPr>
  </w:style>
  <w:style w:type="paragraph" w:styleId="1306">
    <w:name w:val="xl51"/>
    <w:basedOn w:val="1126"/>
    <w:next w:val="1306"/>
    <w:link w:val="11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7">
    <w:name w:val="样式2"/>
    <w:basedOn w:val="1190"/>
    <w:next w:val="1307"/>
    <w:link w:val="1126"/>
    <w:pPr>
      <w:jc w:val="center"/>
      <w:spacing w:line="360" w:lineRule="auto"/>
    </w:pPr>
    <w:rPr>
      <w:rFonts w:ascii="Times New Roman" w:hAnsi="Times New Roman" w:eastAsia="宋体" w:cs="Times New Roman"/>
      <w:sz w:val="24"/>
    </w:rPr>
  </w:style>
  <w:style w:type="paragraph" w:styleId="1308">
    <w:name w:val="xl24"/>
    <w:basedOn w:val="1126"/>
    <w:next w:val="1308"/>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9">
    <w:name w:val="xl29"/>
    <w:basedOn w:val="1126"/>
    <w:next w:val="1309"/>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10">
    <w:name w:val="正文 + 楷体_GB2312"/>
    <w:basedOn w:val="1126"/>
    <w:next w:val="1310"/>
    <w:link w:val="1126"/>
    <w:pPr>
      <w:jc w:val="left"/>
      <w:widowControl/>
    </w:pPr>
    <w:rPr>
      <w:rFonts w:ascii="楷体_GB2312" w:hAnsi="Times New Roman" w:eastAsia="楷体_GB2312" w:cs="Arial"/>
      <w:sz w:val="24"/>
    </w:rPr>
  </w:style>
  <w:style w:type="paragraph" w:styleId="1311">
    <w:name w:val="xl34"/>
    <w:basedOn w:val="1126"/>
    <w:next w:val="1311"/>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ff6600"/>
      <w:sz w:val="20"/>
      <w:szCs w:val="20"/>
    </w:rPr>
  </w:style>
  <w:style w:type="paragraph" w:styleId="1312">
    <w:name w:val="1 Char Char Char Char"/>
    <w:basedOn w:val="1126"/>
    <w:next w:val="1312"/>
    <w:link w:val="1126"/>
    <w:rPr>
      <w:rFonts w:ascii="Tahoma" w:hAnsi="Tahoma" w:eastAsia="宋体" w:cs="Times New Roman"/>
      <w:sz w:val="24"/>
      <w:szCs w:val="20"/>
    </w:rPr>
  </w:style>
  <w:style w:type="paragraph" w:styleId="1313">
    <w:name w:val="列出段落1"/>
    <w:basedOn w:val="1126"/>
    <w:next w:val="1313"/>
    <w:link w:val="1126"/>
    <w:pPr>
      <w:ind w:firstLine="420"/>
    </w:pPr>
    <w:rPr>
      <w:rFonts w:ascii="Calibri" w:hAnsi="Calibri" w:eastAsia="宋体" w:cs="Times New Roman"/>
      <w:szCs w:val="22"/>
    </w:rPr>
  </w:style>
  <w:style w:type="paragraph" w:styleId="1314">
    <w:name w:val="default"/>
    <w:basedOn w:val="1126"/>
    <w:next w:val="1314"/>
    <w:link w:val="1126"/>
    <w:pPr>
      <w:jc w:val="left"/>
      <w:spacing w:before="100" w:beforeAutospacing="1" w:after="100" w:afterAutospacing="1"/>
      <w:widowControl/>
    </w:pPr>
    <w:rPr>
      <w:rFonts w:ascii="宋体" w:hAnsi="宋体" w:eastAsia="宋体" w:cs="宋体"/>
      <w:sz w:val="24"/>
    </w:rPr>
  </w:style>
  <w:style w:type="paragraph" w:styleId="1315">
    <w:name w:val="字元 字元1"/>
    <w:basedOn w:val="1126"/>
    <w:next w:val="1315"/>
    <w:link w:val="1126"/>
    <w:rPr>
      <w:rFonts w:ascii="Tahoma" w:hAnsi="Tahoma" w:eastAsia="宋体" w:cs="Times New Roman"/>
      <w:sz w:val="24"/>
      <w:szCs w:val="20"/>
    </w:rPr>
  </w:style>
  <w:style w:type="paragraph" w:styleId="1316">
    <w:name w:val="_Style 160"/>
    <w:next w:val="1316"/>
    <w:link w:val="1126"/>
    <w:rPr>
      <w:sz w:val="21"/>
      <w:szCs w:val="24"/>
      <w:lang w:val="en-US" w:eastAsia="zh-CN" w:bidi="ar-SA"/>
    </w:rPr>
  </w:style>
  <w:style w:type="paragraph" w:styleId="1317">
    <w:name w:val="项目编号3"/>
    <w:basedOn w:val="1277"/>
    <w:next w:val="1317"/>
    <w:link w:val="1126"/>
    <w:pPr>
      <w:numPr>
        <w:ilvl w:val="0"/>
        <w:numId w:val="6"/>
      </w:numPr>
    </w:pPr>
    <w:rPr>
      <w:rFonts w:ascii="Times New Roman" w:hAnsi="Times New Roman" w:eastAsia="宋体" w:cs="Times New Roman"/>
    </w:rPr>
  </w:style>
  <w:style w:type="paragraph" w:styleId="1318">
    <w:name w:val="Char21"/>
    <w:basedOn w:val="1126"/>
    <w:next w:val="1318"/>
    <w:link w:val="1126"/>
    <w:rPr>
      <w:rFonts w:ascii="Tahoma" w:hAnsi="Tahoma" w:eastAsia="宋体" w:cs="Times New Roman"/>
      <w:sz w:val="24"/>
      <w:szCs w:val="20"/>
    </w:rPr>
  </w:style>
  <w:style w:type="paragraph" w:styleId="1319">
    <w:name w:val="Char Char Char Char Char Char Char Char Char Char1"/>
    <w:basedOn w:val="1126"/>
    <w:next w:val="1319"/>
    <w:link w:val="1126"/>
    <w:rPr>
      <w:rFonts w:ascii="宋体" w:hAnsi="宋体" w:eastAsia="宋体" w:cs="Courier New"/>
      <w:sz w:val="32"/>
      <w:szCs w:val="32"/>
    </w:rPr>
  </w:style>
  <w:style w:type="paragraph" w:styleId="1320">
    <w:name w:val="正文文本样式 加粗"/>
    <w:basedOn w:val="1277"/>
    <w:next w:val="1320"/>
    <w:link w:val="1126"/>
    <w:rPr>
      <w:rFonts w:ascii="Times New Roman" w:hAnsi="Times New Roman" w:eastAsia="宋体" w:cs="Times New Roman"/>
      <w:b/>
    </w:rPr>
  </w:style>
  <w:style w:type="paragraph" w:styleId="1321">
    <w:name w:val="Char2 Char Char Char Char Char Char"/>
    <w:basedOn w:val="1126"/>
    <w:next w:val="1321"/>
    <w:link w:val="1126"/>
    <w:pPr>
      <w:jc w:val="center"/>
      <w:spacing w:line="400" w:lineRule="exact"/>
      <w:widowControl/>
    </w:pPr>
    <w:rPr>
      <w:rFonts w:ascii="Times New Roman" w:hAnsi="Times New Roman" w:eastAsia="宋体" w:cs="Times New Roman"/>
    </w:rPr>
  </w:style>
  <w:style w:type="paragraph" w:styleId="1322">
    <w:name w:val="Char Char4"/>
    <w:basedOn w:val="1126"/>
    <w:next w:val="1322"/>
    <w:link w:val="1126"/>
    <w:pPr>
      <w:jc w:val="center"/>
      <w:spacing w:line="400" w:lineRule="exact"/>
      <w:widowControl/>
    </w:pPr>
    <w:rPr>
      <w:rFonts w:ascii="Times New Roman" w:hAnsi="Times New Roman" w:eastAsia="宋体" w:cs="Times New Roman"/>
    </w:rPr>
  </w:style>
  <w:style w:type="paragraph" w:styleId="1323">
    <w:name w:val="Char3 Char Char Char1"/>
    <w:basedOn w:val="1126"/>
    <w:next w:val="1323"/>
    <w:link w:val="1126"/>
    <w:rPr>
      <w:rFonts w:ascii="Tahoma" w:hAnsi="Tahoma" w:eastAsia="宋体" w:cs="Times New Roman"/>
      <w:sz w:val="24"/>
      <w:szCs w:val="20"/>
    </w:rPr>
  </w:style>
  <w:style w:type="paragraph" w:styleId="1324">
    <w:name w:val="无间隔"/>
    <w:next w:val="1324"/>
    <w:link w:val="1126"/>
    <w:qFormat/>
    <w:pPr>
      <w:jc w:val="both"/>
      <w:widowControl w:val="off"/>
    </w:pPr>
    <w:rPr>
      <w:sz w:val="21"/>
      <w:szCs w:val="24"/>
      <w:lang w:val="en-US" w:eastAsia="zh-CN" w:bidi="ar-SA"/>
    </w:rPr>
  </w:style>
  <w:style w:type="paragraph" w:styleId="1325">
    <w:name w:val="22222222222222"/>
    <w:basedOn w:val="1126"/>
    <w:next w:val="1325"/>
    <w:link w:val="1126"/>
    <w:pPr>
      <w:ind w:firstLine="480"/>
      <w:jc w:val="left"/>
      <w:spacing w:line="360" w:lineRule="auto"/>
      <w:widowControl/>
    </w:pPr>
    <w:rPr>
      <w:rFonts w:ascii="Times New Roman" w:hAnsi="Times New Roman" w:eastAsia="宋体" w:cs="Times New Roman"/>
      <w:color w:val="ff0000"/>
      <w:sz w:val="24"/>
      <w:szCs w:val="20"/>
    </w:rPr>
  </w:style>
  <w:style w:type="character" w:styleId="1326">
    <w:name w:val="中等深浅网格 1 - 强调文字颜色 2 Char"/>
    <w:next w:val="1326"/>
    <w:link w:val="1327"/>
    <w:rPr>
      <w:rFonts w:ascii="Times New Roman" w:hAnsi="Times New Roman" w:eastAsia="宋体" w:cs="Times New Roman"/>
      <w:sz w:val="21"/>
      <w:szCs w:val="24"/>
      <w:lang w:val="zh-CN" w:eastAsia="zh-CN" w:bidi="ar-SA"/>
    </w:rPr>
  </w:style>
  <w:style w:type="paragraph" w:styleId="1327">
    <w:name w:val="1"/>
    <w:next w:val="1327"/>
    <w:link w:val="1326"/>
    <w:rPr>
      <w:sz w:val="21"/>
      <w:szCs w:val="24"/>
      <w:lang w:val="zh-CN" w:eastAsia="zh-CN" w:bidi="ar-SA"/>
    </w:rPr>
  </w:style>
  <w:style w:type="paragraph" w:styleId="1328">
    <w:name w:val="图文"/>
    <w:basedOn w:val="1126"/>
    <w:next w:val="1328"/>
    <w:link w:val="1126"/>
    <w:pPr>
      <w:spacing w:after="50" w:line="360" w:lineRule="auto"/>
    </w:pPr>
    <w:rPr>
      <w:rFonts w:ascii="Times New Roman" w:hAnsi="Times New Roman" w:eastAsia="宋体" w:cs="Times New Roman"/>
      <w:sz w:val="24"/>
    </w:rPr>
  </w:style>
  <w:style w:type="paragraph" w:styleId="1329">
    <w:name w:val="xl23"/>
    <w:basedOn w:val="1126"/>
    <w:next w:val="1329"/>
    <w:link w:val="1126"/>
    <w:pPr>
      <w:spacing w:before="100" w:beforeAutospacing="1" w:after="100" w:afterAutospacing="1" w:line="360" w:lineRule="auto"/>
      <w:widowControl/>
    </w:pPr>
    <w:rPr>
      <w:rFonts w:ascii="Times New Roman" w:hAnsi="Times New Roman" w:eastAsia="宋体" w:cs="Times New Roman"/>
      <w:sz w:val="24"/>
      <w:szCs w:val="20"/>
    </w:rPr>
  </w:style>
  <w:style w:type="paragraph" w:styleId="1330">
    <w:name w:val="正文表格"/>
    <w:basedOn w:val="1126"/>
    <w:next w:val="1330"/>
    <w:link w:val="1331"/>
    <w:pPr>
      <w:jc w:val="left"/>
    </w:pPr>
    <w:rPr>
      <w:rFonts w:ascii="宋体" w:hAnsi="宋体" w:eastAsia="宋体" w:cs="Times New Roman"/>
      <w:color w:val="000000"/>
      <w:szCs w:val="21"/>
    </w:rPr>
  </w:style>
  <w:style w:type="character" w:styleId="1331">
    <w:name w:val="正文表格 Char"/>
    <w:next w:val="1331"/>
    <w:link w:val="1330"/>
    <w:rPr>
      <w:rFonts w:ascii="宋体" w:hAnsi="宋体" w:eastAsia="宋体" w:cs="Times New Roman"/>
      <w:color w:val="000000"/>
      <w:sz w:val="21"/>
      <w:szCs w:val="21"/>
    </w:rPr>
  </w:style>
  <w:style w:type="paragraph" w:styleId="1332">
    <w:name w:val="正文重点"/>
    <w:basedOn w:val="1126"/>
    <w:next w:val="1332"/>
    <w:link w:val="1333"/>
    <w:pPr>
      <w:ind w:firstLine="482"/>
      <w:jc w:val="left"/>
      <w:spacing w:line="360" w:lineRule="auto"/>
    </w:pPr>
    <w:rPr>
      <w:rFonts w:ascii="Times New Roman" w:hAnsi="Times New Roman" w:eastAsia="宋体" w:cs="Times New Roman"/>
      <w:b/>
      <w:sz w:val="24"/>
      <w:szCs w:val="20"/>
    </w:rPr>
  </w:style>
  <w:style w:type="character" w:styleId="1333">
    <w:name w:val="正文重点 Char"/>
    <w:next w:val="1333"/>
    <w:link w:val="1332"/>
    <w:rPr>
      <w:rFonts w:ascii="Times New Roman" w:hAnsi="Times New Roman" w:eastAsia="宋体" w:cs="Times New Roman"/>
      <w:b/>
      <w:sz w:val="24"/>
    </w:rPr>
  </w:style>
  <w:style w:type="paragraph" w:styleId="1334">
    <w:name w:val="标题1-附件"/>
    <w:basedOn w:val="1127"/>
    <w:next w:val="1334"/>
    <w:link w:val="1126"/>
    <w:pPr>
      <w:jc w:val="left"/>
    </w:pPr>
    <w:rPr>
      <w:rFonts w:ascii="Times New Roman" w:hAnsi="Times New Roman" w:eastAsia="宋体" w:cs="Times New Roman"/>
      <w:sz w:val="24"/>
      <w:szCs w:val="24"/>
    </w:rPr>
  </w:style>
  <w:style w:type="paragraph" w:styleId="1335">
    <w:name w:val="正文小标题"/>
    <w:basedOn w:val="1126"/>
    <w:next w:val="1148"/>
    <w:link w:val="1336"/>
    <w:pPr>
      <w:ind w:firstLine="482"/>
      <w:jc w:val="left"/>
      <w:spacing w:before="312" w:after="312"/>
    </w:pPr>
    <w:rPr>
      <w:rFonts w:ascii="宋体" w:hAnsi="宋体" w:eastAsia="宋体" w:cs="Times New Roman"/>
      <w:b/>
      <w:i/>
      <w:color w:val="ff0000"/>
      <w:sz w:val="24"/>
      <w:szCs w:val="20"/>
    </w:rPr>
  </w:style>
  <w:style w:type="character" w:styleId="1336">
    <w:name w:val="正文小标题 Char"/>
    <w:next w:val="1336"/>
    <w:link w:val="1335"/>
    <w:rPr>
      <w:rFonts w:ascii="宋体" w:hAnsi="宋体" w:eastAsia="宋体" w:cs="Times New Roman"/>
      <w:b/>
      <w:i/>
      <w:color w:val="ff0000"/>
      <w:sz w:val="24"/>
    </w:rPr>
  </w:style>
  <w:style w:type="paragraph" w:styleId="1337">
    <w:name w:val="正文大标题"/>
    <w:basedOn w:val="1335"/>
    <w:next w:val="1148"/>
    <w:link w:val="1338"/>
    <w:pPr>
      <w:jc w:val="center"/>
    </w:pPr>
    <w:rPr>
      <w:rFonts w:ascii="Times New Roman" w:hAnsi="Times New Roman" w:eastAsia="宋体" w:cs="Times New Roman"/>
      <w:i w:val="0"/>
      <w:color w:val="000000"/>
      <w:sz w:val="28"/>
      <w:szCs w:val="21"/>
    </w:rPr>
  </w:style>
  <w:style w:type="character" w:styleId="1338">
    <w:name w:val="正文大标题 Char"/>
    <w:next w:val="1338"/>
    <w:link w:val="1337"/>
    <w:rPr>
      <w:rFonts w:ascii="宋体" w:hAnsi="宋体" w:eastAsia="宋体" w:cs="Times New Roman"/>
      <w:b/>
      <w:color w:val="000000"/>
      <w:sz w:val="28"/>
      <w:szCs w:val="21"/>
    </w:rPr>
  </w:style>
  <w:style w:type="paragraph" w:styleId="1339">
    <w:name w:val="注释"/>
    <w:basedOn w:val="1126"/>
    <w:next w:val="1339"/>
    <w:link w:val="1340"/>
    <w:pPr>
      <w:ind w:left="420" w:hanging="420"/>
      <w:jc w:val="left"/>
    </w:pPr>
    <w:rPr>
      <w:rFonts w:ascii="宋体" w:hAnsi="宋体" w:eastAsia="宋体" w:cs="Times New Roman"/>
      <w:szCs w:val="21"/>
    </w:rPr>
  </w:style>
  <w:style w:type="character" w:styleId="1340">
    <w:name w:val="注释 Char"/>
    <w:next w:val="1340"/>
    <w:link w:val="1339"/>
    <w:rPr>
      <w:rFonts w:ascii="宋体" w:hAnsi="宋体" w:eastAsia="宋体" w:cs="Times New Roman"/>
      <w:sz w:val="21"/>
      <w:szCs w:val="21"/>
    </w:rPr>
  </w:style>
  <w:style w:type="paragraph" w:styleId="1341">
    <w:name w:val="正文须知-1级"/>
    <w:basedOn w:val="1126"/>
    <w:next w:val="1126"/>
    <w:link w:val="1126"/>
    <w:pPr>
      <w:numPr>
        <w:ilvl w:val="0"/>
        <w:numId w:val="7"/>
      </w:numPr>
      <w:spacing w:line="300" w:lineRule="auto"/>
    </w:pPr>
    <w:rPr>
      <w:rFonts w:ascii="宋体" w:hAnsi="Calibri" w:eastAsia="宋体" w:cs="Times New Roman"/>
      <w:sz w:val="24"/>
      <w:szCs w:val="21"/>
    </w:rPr>
  </w:style>
  <w:style w:type="paragraph" w:styleId="1342">
    <w:name w:val="正文须知-2级"/>
    <w:basedOn w:val="1126"/>
    <w:next w:val="1342"/>
    <w:link w:val="1126"/>
    <w:pPr>
      <w:numPr>
        <w:ilvl w:val="1"/>
        <w:numId w:val="7"/>
      </w:numPr>
      <w:spacing w:line="300" w:lineRule="auto"/>
    </w:pPr>
    <w:rPr>
      <w:rFonts w:ascii="宋体" w:hAnsi="Calibri" w:eastAsia="宋体" w:cs="Times New Roman"/>
      <w:sz w:val="24"/>
      <w:szCs w:val="21"/>
    </w:rPr>
  </w:style>
  <w:style w:type="paragraph" w:styleId="1343">
    <w:name w:val="正文须知-3级"/>
    <w:basedOn w:val="1126"/>
    <w:next w:val="1343"/>
    <w:link w:val="1126"/>
    <w:pPr>
      <w:numPr>
        <w:ilvl w:val="2"/>
        <w:numId w:val="7"/>
      </w:numPr>
      <w:ind w:hanging="355"/>
      <w:spacing w:line="300" w:lineRule="auto"/>
    </w:pPr>
    <w:rPr>
      <w:rFonts w:ascii="宋体" w:hAnsi="Calibri" w:eastAsia="宋体" w:cs="Times New Roman"/>
      <w:sz w:val="24"/>
      <w:szCs w:val="21"/>
    </w:rPr>
  </w:style>
  <w:style w:type="character" w:styleId="1344">
    <w:name w:val="纯文本 字符"/>
    <w:next w:val="1344"/>
    <w:link w:val="1126"/>
    <w:rPr>
      <w:rFonts w:ascii="宋体" w:hAnsi="Courier New" w:eastAsia="宋体" w:cs="Times New Roman"/>
      <w:sz w:val="21"/>
      <w:szCs w:val="21"/>
      <w:lang w:val="en-US" w:eastAsia="zh-CN" w:bidi="ar-SA"/>
    </w:rPr>
  </w:style>
  <w:style w:type="paragraph" w:styleId="1345">
    <w:name w:val="表格1"/>
    <w:basedOn w:val="1126"/>
    <w:next w:val="1345"/>
    <w:link w:val="1126"/>
    <w:pPr>
      <w:ind w:firstLine="480"/>
      <w:jc w:val="center"/>
    </w:pPr>
    <w:rPr>
      <w:rFonts w:ascii="Times New Roman" w:hAnsi="Times New Roman" w:eastAsia="宋体" w:cs="Times New Roman"/>
      <w:sz w:val="24"/>
      <w:szCs w:val="20"/>
    </w:rPr>
  </w:style>
  <w:style w:type="character" w:styleId="1346">
    <w:name w:val="纯文本 字符1"/>
    <w:next w:val="1346"/>
    <w:link w:val="1126"/>
    <w:rPr>
      <w:rFonts w:ascii="宋体" w:hAnsi="Courier New" w:eastAsia="宋体" w:cs="Times New Roman"/>
    </w:rPr>
  </w:style>
  <w:style w:type="character" w:styleId="1347">
    <w:name w:val="bjh-p"/>
    <w:next w:val="1347"/>
    <w:link w:val="1126"/>
    <w:rPr>
      <w:rFonts w:ascii="Times New Roman" w:hAnsi="Times New Roman" w:eastAsia="宋体" w:cs="Times New Roman"/>
    </w:rPr>
  </w:style>
  <w:style w:type="paragraph" w:styleId="1348">
    <w:name w:val="无标题条"/>
    <w:next w:val="1126"/>
    <w:link w:val="1126"/>
    <w:pPr>
      <w:jc w:val="both"/>
    </w:pPr>
    <w:rPr>
      <w:sz w:val="21"/>
      <w:lang w:val="en-US" w:eastAsia="zh-CN" w:bidi="ar-SA"/>
    </w:rPr>
  </w:style>
  <w:style w:type="character" w:styleId="1349">
    <w:name w:val="正文格式 Char"/>
    <w:next w:val="1349"/>
    <w:link w:val="1350"/>
    <w:rPr>
      <w:rFonts w:ascii="宋体" w:hAnsi="宋体" w:eastAsia="宋体" w:cs="Times New Roman"/>
      <w:sz w:val="24"/>
      <w:szCs w:val="24"/>
      <w:lang w:val="en-GB"/>
    </w:rPr>
  </w:style>
  <w:style w:type="paragraph" w:styleId="1350">
    <w:name w:val="正文格式"/>
    <w:basedOn w:val="1126"/>
    <w:next w:val="1350"/>
    <w:link w:val="1349"/>
    <w:pPr>
      <w:ind w:firstLine="480"/>
      <w:spacing w:line="360" w:lineRule="auto"/>
    </w:pPr>
    <w:rPr>
      <w:rFonts w:ascii="宋体" w:hAnsi="宋体" w:eastAsia="宋体" w:cs="Times New Roman"/>
      <w:sz w:val="24"/>
      <w:lang w:val="en-GB"/>
    </w:rPr>
  </w:style>
  <w:style w:type="character" w:styleId="1351">
    <w:name w:val="标题 3 Char"/>
    <w:next w:val="1351"/>
    <w:link w:val="1126"/>
    <w:rPr>
      <w:rFonts w:ascii="宋体" w:hAnsi="Times New Roman" w:eastAsia="宋体" w:cs="Times New Roman"/>
      <w:b/>
      <w:sz w:val="24"/>
      <w:u w:val="single"/>
      <w:lang w:val="en-US" w:eastAsia="zh-CN" w:bidi="ar-SA"/>
    </w:rPr>
  </w:style>
  <w:style w:type="character" w:styleId="1352">
    <w:name w:val="正文缩进 Char"/>
    <w:next w:val="1352"/>
    <w:link w:val="1126"/>
    <w:rPr>
      <w:rFonts w:ascii="宋体" w:hAnsi="Times New Roman" w:eastAsia="宋体" w:cs="Times New Roman"/>
      <w:sz w:val="24"/>
      <w:szCs w:val="24"/>
      <w:lang w:val="en-US" w:eastAsia="zh-CN" w:bidi="ar-SA"/>
    </w:rPr>
  </w:style>
  <w:style w:type="character" w:styleId="1353">
    <w:name w:val="Char Char111"/>
    <w:next w:val="1353"/>
    <w:link w:val="1126"/>
    <w:rPr>
      <w:rFonts w:ascii="宋体" w:hAnsi="Times New Roman" w:eastAsia="宋体" w:cs="Times New Roman"/>
      <w:b/>
      <w:sz w:val="24"/>
      <w:u w:val="single"/>
      <w:lang w:val="en-US" w:eastAsia="zh-CN" w:bidi="ar-SA"/>
    </w:rPr>
  </w:style>
  <w:style w:type="character" w:styleId="1354">
    <w:name w:val="正文文本缩进 Char"/>
    <w:next w:val="1354"/>
    <w:link w:val="1126"/>
    <w:rPr>
      <w:rFonts w:ascii="Times New Roman" w:hAnsi="Times New Roman" w:eastAsia="宋体" w:cs="Times New Roman"/>
      <w:sz w:val="24"/>
      <w:szCs w:val="24"/>
      <w:lang w:val="en-US" w:eastAsia="zh-CN" w:bidi="ar-SA"/>
    </w:rPr>
  </w:style>
  <w:style w:type="character" w:styleId="1355">
    <w:name w:val="列出段落 Char"/>
    <w:next w:val="1355"/>
    <w:link w:val="1126"/>
    <w:rPr>
      <w:rFonts w:ascii="Calibri" w:hAnsi="Calibri" w:eastAsia="宋体" w:cs="Times New Roman"/>
      <w:sz w:val="21"/>
      <w:szCs w:val="22"/>
      <w:lang w:val="en-US" w:eastAsia="zh-CN" w:bidi="ar-SA"/>
    </w:rPr>
  </w:style>
  <w:style w:type="character" w:styleId="1356">
    <w:name w:val="页眉 Char"/>
    <w:next w:val="1356"/>
    <w:link w:val="1126"/>
    <w:rPr>
      <w:rFonts w:ascii="Times New Roman" w:hAnsi="Times New Roman" w:eastAsia="宋体" w:cs="Times New Roman"/>
      <w:sz w:val="18"/>
      <w:szCs w:val="18"/>
      <w:lang w:val="en-US" w:eastAsia="zh-CN" w:bidi="ar-SA"/>
    </w:rPr>
  </w:style>
  <w:style w:type="character" w:styleId="1357">
    <w:name w:val="标题 2 Char"/>
    <w:next w:val="1357"/>
    <w:link w:val="1126"/>
    <w:rPr>
      <w:rFonts w:ascii="Arial" w:hAnsi="Arial" w:eastAsia="黑体" w:cs="Times New Roman"/>
      <w:b/>
      <w:sz w:val="30"/>
      <w:lang w:val="en-US" w:eastAsia="zh-CN" w:bidi="ar-SA"/>
    </w:rPr>
  </w:style>
  <w:style w:type="paragraph" w:styleId="1358">
    <w:name w:val="字元 字元2"/>
    <w:basedOn w:val="1126"/>
    <w:next w:val="1358"/>
    <w:link w:val="1126"/>
    <w:rPr>
      <w:rFonts w:ascii="Tahoma" w:hAnsi="Tahoma" w:eastAsia="宋体" w:cs="Times New Roman"/>
      <w:sz w:val="24"/>
      <w:szCs w:val="20"/>
    </w:rPr>
  </w:style>
  <w:style w:type="paragraph" w:styleId="1359">
    <w:name w:val="Char3 Char Char Char2"/>
    <w:basedOn w:val="1126"/>
    <w:next w:val="1359"/>
    <w:link w:val="1126"/>
    <w:rPr>
      <w:rFonts w:ascii="Tahoma" w:hAnsi="Tahoma" w:eastAsia="宋体" w:cs="Times New Roman"/>
      <w:sz w:val="24"/>
      <w:szCs w:val="20"/>
    </w:rPr>
  </w:style>
  <w:style w:type="paragraph" w:styleId="1360">
    <w:name w:val="正文文本缩进2"/>
    <w:basedOn w:val="1126"/>
    <w:next w:val="1360"/>
    <w:link w:val="1126"/>
    <w:pPr>
      <w:ind w:firstLine="480"/>
      <w:spacing w:line="480" w:lineRule="exact"/>
    </w:pPr>
    <w:rPr>
      <w:rFonts w:ascii="宋体" w:hAnsi="宋体" w:eastAsia="宋体" w:cs="Times New Roman"/>
      <w:sz w:val="24"/>
      <w:lang w:val="zh-CN" w:eastAsia="zh-CN"/>
    </w:rPr>
  </w:style>
  <w:style w:type="paragraph" w:styleId="1361">
    <w:name w:val="Char3"/>
    <w:basedOn w:val="1126"/>
    <w:next w:val="1361"/>
    <w:link w:val="1126"/>
    <w:pPr>
      <w:tabs>
        <w:tab w:val="left" w:pos="360" w:leader="none"/>
      </w:tabs>
    </w:pPr>
    <w:rPr>
      <w:rFonts w:ascii="Times New Roman" w:hAnsi="Times New Roman" w:eastAsia="宋体" w:cs="Times New Roman"/>
      <w:sz w:val="24"/>
    </w:rPr>
  </w:style>
  <w:style w:type="paragraph" w:styleId="1362">
    <w:name w:val="Char Char Char Char Char Char Char Char Char Char Char Char Char Char Char Char1"/>
    <w:basedOn w:val="1126"/>
    <w:next w:val="1362"/>
    <w:link w:val="1126"/>
    <w:pPr>
      <w:jc w:val="center"/>
      <w:spacing w:after="160" w:line="240" w:lineRule="exact"/>
      <w:widowControl/>
    </w:pPr>
    <w:rPr>
      <w:rFonts w:ascii="宋体" w:hAnsi="宋体" w:eastAsia="宋体" w:cs="Times New Roman"/>
      <w:b/>
      <w:sz w:val="30"/>
      <w:szCs w:val="30"/>
      <w:lang w:eastAsia="en-US"/>
    </w:rPr>
  </w:style>
  <w:style w:type="paragraph" w:styleId="1363">
    <w:name w:val="Char Char1 Char Char Char Char Char Char1"/>
    <w:basedOn w:val="1126"/>
    <w:next w:val="1363"/>
    <w:link w:val="1126"/>
    <w:pPr>
      <w:jc w:val="left"/>
      <w:spacing w:after="160" w:line="240" w:lineRule="exact"/>
      <w:widowControl/>
    </w:pPr>
    <w:rPr>
      <w:rFonts w:ascii="Verdana" w:hAnsi="Verdana" w:eastAsia="仿宋_GB2312" w:cs="Times New Roman"/>
      <w:sz w:val="24"/>
      <w:szCs w:val="20"/>
      <w:lang w:eastAsia="en-US"/>
    </w:rPr>
  </w:style>
  <w:style w:type="paragraph" w:styleId="1364">
    <w:name w:val="列出段落2"/>
    <w:basedOn w:val="1126"/>
    <w:next w:val="1364"/>
    <w:link w:val="1126"/>
    <w:pPr>
      <w:ind w:firstLine="420"/>
    </w:pPr>
    <w:rPr>
      <w:rFonts w:ascii="Calibri" w:hAnsi="Calibri" w:eastAsia="宋体" w:cs="Times New Roman"/>
      <w:szCs w:val="22"/>
    </w:rPr>
  </w:style>
  <w:style w:type="paragraph" w:styleId="1365">
    <w:name w:val="Char Char Char1 Char2"/>
    <w:basedOn w:val="1126"/>
    <w:next w:val="1365"/>
    <w:link w:val="1126"/>
    <w:rPr>
      <w:rFonts w:ascii="Tahoma" w:hAnsi="Tahoma" w:eastAsia="宋体" w:cs="Times New Roman"/>
      <w:sz w:val="24"/>
      <w:szCs w:val="20"/>
    </w:rPr>
  </w:style>
  <w:style w:type="paragraph" w:styleId="1366">
    <w:name w:val="Char Char Char2"/>
    <w:basedOn w:val="1126"/>
    <w:next w:val="1366"/>
    <w:link w:val="1126"/>
    <w:rPr>
      <w:rFonts w:ascii="Tahoma" w:hAnsi="Tahoma" w:eastAsia="宋体" w:cs="Times New Roman"/>
      <w:sz w:val="24"/>
      <w:szCs w:val="20"/>
    </w:rPr>
  </w:style>
  <w:style w:type="paragraph" w:styleId="1367">
    <w:name w:val="Char Char Char Char Char Char Char2"/>
    <w:basedOn w:val="1126"/>
    <w:next w:val="1367"/>
    <w:link w:val="1126"/>
    <w:pPr>
      <w:ind w:firstLine="200"/>
      <w:spacing w:line="360" w:lineRule="auto"/>
    </w:pPr>
    <w:rPr>
      <w:rFonts w:ascii="Times New Roman" w:hAnsi="Times New Roman" w:eastAsia="仿宋_GB2312" w:cs="Times New Roman"/>
      <w:sz w:val="24"/>
    </w:rPr>
  </w:style>
  <w:style w:type="paragraph" w:styleId="1368">
    <w:name w:val="正文缩进2"/>
    <w:basedOn w:val="1126"/>
    <w:next w:val="1368"/>
    <w:link w:val="1126"/>
    <w:pPr>
      <w:ind w:firstLine="567"/>
      <w:spacing w:line="480" w:lineRule="exact"/>
      <w:widowControl/>
    </w:pPr>
    <w:rPr>
      <w:rFonts w:ascii="宋体" w:hAnsi="Times New Roman" w:eastAsia="宋体" w:cs="Times New Roman"/>
      <w:color w:val="000000"/>
      <w:sz w:val="28"/>
      <w:szCs w:val="20"/>
      <w:lang w:val="zh-CN" w:eastAsia="zh-CN"/>
    </w:rPr>
  </w:style>
  <w:style w:type="paragraph" w:styleId="1369">
    <w:name w:val="Revision"/>
    <w:next w:val="1369"/>
    <w:link w:val="1126"/>
    <w:rPr>
      <w:sz w:val="21"/>
      <w:szCs w:val="24"/>
      <w:lang w:val="en-US" w:eastAsia="zh-CN" w:bidi="ar-SA"/>
    </w:rPr>
  </w:style>
  <w:style w:type="paragraph" w:styleId="1370">
    <w:name w:val="Char22"/>
    <w:basedOn w:val="1126"/>
    <w:next w:val="1370"/>
    <w:link w:val="1126"/>
    <w:rPr>
      <w:rFonts w:ascii="Tahoma" w:hAnsi="Tahoma" w:eastAsia="宋体" w:cs="Times New Roman"/>
      <w:sz w:val="24"/>
      <w:szCs w:val="20"/>
    </w:rPr>
  </w:style>
  <w:style w:type="paragraph" w:styleId="1371">
    <w:name w:val="Char Char Char Char Char Char Char Char Char Char2"/>
    <w:basedOn w:val="1126"/>
    <w:next w:val="1371"/>
    <w:link w:val="1126"/>
    <w:rPr>
      <w:rFonts w:ascii="宋体" w:hAnsi="宋体" w:eastAsia="宋体" w:cs="Courier New"/>
      <w:sz w:val="32"/>
      <w:szCs w:val="32"/>
    </w:rPr>
  </w:style>
  <w:style w:type="paragraph" w:styleId="1372">
    <w:name w:val="Char2 Char Char Char Char Char Char1"/>
    <w:basedOn w:val="1126"/>
    <w:next w:val="1372"/>
    <w:link w:val="1126"/>
    <w:pPr>
      <w:jc w:val="center"/>
      <w:spacing w:line="400" w:lineRule="exact"/>
      <w:widowControl/>
    </w:pPr>
    <w:rPr>
      <w:rFonts w:ascii="Times New Roman" w:hAnsi="Times New Roman" w:eastAsia="宋体" w:cs="Times New Roman"/>
    </w:rPr>
  </w:style>
  <w:style w:type="character" w:styleId="1373">
    <w:name w:val="页脚 Char"/>
    <w:next w:val="1373"/>
    <w:link w:val="1126"/>
    <w:rPr>
      <w:rFonts w:ascii="宋体" w:hAnsi="Times New Roman" w:eastAsia="宋体" w:cs="Times New Roman"/>
      <w:sz w:val="18"/>
      <w:lang w:val="en-US" w:eastAsia="zh-CN" w:bidi="ar-SA"/>
    </w:rPr>
  </w:style>
  <w:style w:type="paragraph" w:styleId="1374">
    <w:name w:val="Char Char41"/>
    <w:basedOn w:val="1126"/>
    <w:next w:val="1374"/>
    <w:link w:val="1126"/>
    <w:pPr>
      <w:jc w:val="center"/>
      <w:spacing w:line="400" w:lineRule="exact"/>
      <w:widowControl/>
    </w:pPr>
    <w:rPr>
      <w:rFonts w:ascii="Times New Roman" w:hAnsi="Times New Roman" w:eastAsia="宋体" w:cs="Times New Roman"/>
    </w:rPr>
  </w:style>
  <w:style w:type="character" w:styleId="1375">
    <w:name w:val="批注文字 Char"/>
    <w:next w:val="1375"/>
    <w:link w:val="1126"/>
    <w:rPr>
      <w:rFonts w:ascii="Times New Roman" w:hAnsi="Times New Roman" w:eastAsia="宋体" w:cs="Times New Roman"/>
      <w:sz w:val="21"/>
      <w:szCs w:val="24"/>
    </w:rPr>
  </w:style>
  <w:style w:type="character" w:styleId="1376">
    <w:name w:val="标题 Char"/>
    <w:next w:val="1376"/>
    <w:link w:val="1126"/>
    <w:rPr>
      <w:rFonts w:ascii="Times New Roman" w:hAnsi="Times New Roman" w:eastAsia="宋体" w:cs="Times New Roman"/>
      <w:b/>
      <w:sz w:val="32"/>
    </w:rPr>
  </w:style>
  <w:style w:type="paragraph" w:styleId="1377">
    <w:name w:val="图例"/>
    <w:basedOn w:val="1126"/>
    <w:next w:val="1377"/>
    <w:link w:val="1126"/>
    <w:pPr>
      <w:jc w:val="center"/>
      <w:spacing w:before="120" w:after="120" w:line="360" w:lineRule="auto"/>
    </w:pPr>
    <w:rPr>
      <w:rFonts w:ascii="Times New Roman" w:hAnsi="Times New Roman" w:eastAsia="仿宋_GB2312" w:cs="Times New Roman"/>
      <w:b/>
      <w:sz w:val="24"/>
      <w:szCs w:val="20"/>
    </w:rPr>
  </w:style>
  <w:style w:type="table" w:styleId="1378">
    <w:name w:val="Table Normal"/>
    <w:next w:val="1378"/>
    <w:link w:val="1126"/>
    <w:pPr>
      <w:widowControl w:val="off"/>
    </w:pPr>
    <w:rPr>
      <w:rFonts w:ascii="Calibri" w:hAnsi="Calibri"/>
      <w:sz w:val="22"/>
      <w:szCs w:val="22"/>
      <w:lang w:val="en-US" w:eastAsia="en-US" w:bidi="ar-SA"/>
    </w:rPr>
    <w:tblPr/>
  </w:style>
  <w:style w:type="paragraph" w:styleId="1379">
    <w:name w:val="Table Paragraph"/>
    <w:basedOn w:val="1126"/>
    <w:next w:val="1379"/>
    <w:link w:val="1126"/>
    <w:pPr>
      <w:jc w:val="left"/>
    </w:pPr>
    <w:rPr>
      <w:rFonts w:ascii="宋体" w:hAnsi="宋体" w:eastAsia="宋体" w:cs="宋体"/>
      <w:sz w:val="22"/>
      <w:szCs w:val="22"/>
      <w:lang w:eastAsia="en-US"/>
    </w:rPr>
  </w:style>
  <w:style w:type="paragraph" w:styleId="1380">
    <w:name w:val="修订"/>
    <w:next w:val="1380"/>
    <w:link w:val="1126"/>
    <w:rPr>
      <w:sz w:val="21"/>
      <w:szCs w:val="24"/>
      <w:lang w:val="en-US" w:eastAsia="zh-CN" w:bidi="ar-SA"/>
    </w:rPr>
  </w:style>
  <w:style w:type="character" w:styleId="1381">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381"/>
    <w:link w:val="1126"/>
    <w:rPr>
      <w:rFonts w:ascii="宋体" w:hAnsi="宋体" w:eastAsia="宋体" w:cs="Times New Roman"/>
      <w:sz w:val="24"/>
      <w:szCs w:val="24"/>
    </w:rPr>
  </w:style>
  <w:style w:type="character" w:styleId="1382">
    <w:name w:val="NormalCharacter1"/>
    <w:next w:val="1382"/>
    <w:link w:val="1126"/>
    <w:rPr>
      <w:rFonts w:ascii="Times New Roman" w:hAnsi="Times New Roman" w:eastAsia="宋体" w:cs="Times New Roman"/>
    </w:rPr>
  </w:style>
  <w:style w:type="character" w:styleId="1383">
    <w:name w:val="正文缩进 Char1"/>
    <w:next w:val="1383"/>
    <w:link w:val="1126"/>
    <w:rPr>
      <w:rFonts w:ascii="宋体" w:hAnsi="宋体" w:eastAsia="宋体" w:cs="Times New Roman"/>
      <w:sz w:val="24"/>
    </w:rPr>
  </w:style>
  <w:style w:type="paragraph" w:styleId="1384">
    <w:name w:val="索引 11"/>
    <w:basedOn w:val="1126"/>
    <w:next w:val="1126"/>
    <w:link w:val="1126"/>
    <w:pPr>
      <w:spacing w:line="360" w:lineRule="auto"/>
    </w:pPr>
    <w:rPr>
      <w:rFonts w:ascii="仿宋_GB2312" w:hAnsi="Times New Roman" w:eastAsia="仿宋_GB2312" w:cs="Times New Roman"/>
      <w:sz w:val="24"/>
      <w:szCs w:val="20"/>
    </w:rPr>
  </w:style>
  <w:style w:type="character" w:styleId="1385">
    <w:name w:val="font01"/>
    <w:next w:val="1385"/>
    <w:link w:val="1126"/>
    <w:rPr>
      <w:rFonts w:hint="eastAsia" w:ascii="微软雅黑" w:hAnsi="微软雅黑" w:eastAsia="微软雅黑" w:cs="微软雅黑"/>
      <w:i w:val="0"/>
      <w:iCs w:val="0"/>
      <w:color w:val="000000"/>
      <w:sz w:val="20"/>
      <w:szCs w:val="20"/>
      <w:u w:val="none"/>
    </w:rPr>
  </w:style>
  <w:style w:type="paragraph" w:styleId="1386">
    <w:name w:val="段"/>
    <w:next w:val="1126"/>
    <w:link w:val="1126"/>
    <w:pPr>
      <w:ind w:firstLine="200"/>
      <w:jc w:val="both"/>
    </w:pPr>
    <w:rPr>
      <w:rFonts w:ascii="宋体" w:hAnsi="Calibri"/>
      <w:sz w:val="21"/>
      <w:szCs w:val="22"/>
      <w:lang w:val="en-US" w:eastAsia="zh-CN" w:bidi="ar-SA"/>
    </w:rPr>
  </w:style>
  <w:style w:type="paragraph" w:styleId="1387">
    <w:name w:val="列出段落3"/>
    <w:basedOn w:val="1126"/>
    <w:next w:val="1387"/>
    <w:link w:val="1126"/>
    <w:pPr>
      <w:ind w:firstLine="420"/>
    </w:pPr>
    <w:rPr>
      <w:rFonts w:ascii="Calibri" w:hAnsi="Calibri" w:eastAsia="宋体" w:cs="Times New Roman"/>
      <w:szCs w:val="22"/>
    </w:rPr>
  </w:style>
  <w:style w:type="paragraph" w:styleId="1388">
    <w:name w:val="正文 A"/>
    <w:next w:val="1388"/>
    <w:link w:val="1126"/>
    <w:qFormat/>
    <w:pPr>
      <w:jc w:val="both"/>
      <w:widowControl w:val="off"/>
    </w:pPr>
    <w:rPr>
      <w:rFonts w:eastAsia="Times New Roman"/>
      <w:color w:val="000000"/>
      <w:sz w:val="21"/>
      <w:szCs w:val="21"/>
      <w:lang w:val="en-US" w:eastAsia="zh-CN" w:bidi="ar-SA"/>
    </w:rPr>
  </w:style>
  <w:style w:type="paragraph" w:styleId="1389">
    <w:name w:val="样式"/>
    <w:next w:val="1389"/>
    <w:link w:val="1126"/>
    <w:qFormat/>
    <w:pPr>
      <w:widowControl w:val="off"/>
    </w:pPr>
    <w:rPr>
      <w:rFonts w:ascii="Calibri" w:hAnsi="Calibri"/>
      <w:sz w:val="24"/>
      <w:szCs w:val="24"/>
      <w:lang w:val="en-US" w:eastAsia="zh-CN" w:bidi="ar-SA"/>
    </w:rPr>
  </w:style>
  <w:style w:type="character" w:styleId="1390" w:default="1">
    <w:name w:val="Default Paragraph Font"/>
    <w:uiPriority w:val="1"/>
    <w:semiHidden/>
    <w:unhideWhenUsed/>
  </w:style>
  <w:style w:type="numbering" w:styleId="1391" w:default="1">
    <w:name w:val="No List"/>
    <w:uiPriority w:val="99"/>
    <w:semiHidden/>
    <w:unhideWhenUsed/>
  </w:style>
  <w:style w:type="table" w:styleId="13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4</cp:revision>
  <dcterms:created xsi:type="dcterms:W3CDTF">2025-05-28T06:02:00Z</dcterms:created>
  <dcterms:modified xsi:type="dcterms:W3CDTF">2025-11-26T00:30:27Z</dcterms:modified>
</cp:coreProperties>
</file>